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50A1" w14:textId="3BEF9F7A" w:rsidR="00904D6D" w:rsidRPr="00A6194E" w:rsidRDefault="00354A58" w:rsidP="00956EB6">
      <w:pPr>
        <w:pStyle w:val="Title"/>
        <w:rPr>
          <w:sz w:val="32"/>
          <w:szCs w:val="32"/>
        </w:rPr>
      </w:pPr>
      <w:bookmarkStart w:id="0" w:name="_Hlk78354194"/>
      <w:r w:rsidRPr="00A6194E">
        <w:rPr>
          <w:sz w:val="32"/>
          <w:szCs w:val="32"/>
          <w:lang w:val="en-ID"/>
        </w:rPr>
        <w:t>Paper’s</w:t>
      </w:r>
      <w:r w:rsidRPr="00A6194E">
        <w:rPr>
          <w:sz w:val="32"/>
          <w:szCs w:val="32"/>
        </w:rPr>
        <w:t xml:space="preserve"> </w:t>
      </w:r>
      <w:r w:rsidRPr="00A6194E">
        <w:rPr>
          <w:sz w:val="32"/>
          <w:szCs w:val="32"/>
          <w:lang w:val="en-US"/>
        </w:rPr>
        <w:t>title</w:t>
      </w:r>
      <w:bookmarkEnd w:id="0"/>
      <w:r w:rsidRPr="00A6194E">
        <w:rPr>
          <w:sz w:val="32"/>
          <w:szCs w:val="32"/>
          <w:lang w:val="en-US"/>
        </w:rPr>
        <w:t xml:space="preserve"> </w:t>
      </w:r>
      <w:r w:rsidR="005160A8" w:rsidRPr="00A6194E">
        <w:rPr>
          <w:sz w:val="32"/>
          <w:szCs w:val="32"/>
        </w:rPr>
        <w:t xml:space="preserve">should be </w:t>
      </w:r>
      <w:r w:rsidR="005160A8" w:rsidRPr="00A6194E">
        <w:rPr>
          <w:sz w:val="32"/>
          <w:szCs w:val="32"/>
          <w:lang w:val="en-US"/>
        </w:rPr>
        <w:t>t</w:t>
      </w:r>
      <w:r w:rsidR="005160A8" w:rsidRPr="00A6194E">
        <w:rPr>
          <w:sz w:val="32"/>
          <w:szCs w:val="32"/>
        </w:rPr>
        <w:t xml:space="preserve">he fewest possible words that </w:t>
      </w:r>
      <w:r w:rsidR="005160A8" w:rsidRPr="00A6194E">
        <w:rPr>
          <w:iCs/>
          <w:sz w:val="32"/>
          <w:szCs w:val="32"/>
        </w:rPr>
        <w:t xml:space="preserve">accurately describe </w:t>
      </w:r>
      <w:r w:rsidR="005160A8" w:rsidRPr="00A6194E">
        <w:rPr>
          <w:iCs/>
          <w:sz w:val="32"/>
          <w:szCs w:val="32"/>
          <w:lang w:val="en-US"/>
        </w:rPr>
        <w:t>t</w:t>
      </w:r>
      <w:r w:rsidR="005160A8" w:rsidRPr="00A6194E">
        <w:rPr>
          <w:iCs/>
          <w:sz w:val="32"/>
          <w:szCs w:val="32"/>
        </w:rPr>
        <w:t xml:space="preserve">he content </w:t>
      </w:r>
      <w:r w:rsidR="005160A8" w:rsidRPr="00A6194E">
        <w:rPr>
          <w:iCs/>
          <w:sz w:val="32"/>
          <w:szCs w:val="32"/>
          <w:lang w:val="en-US"/>
        </w:rPr>
        <w:t>o</w:t>
      </w:r>
      <w:r w:rsidR="005160A8" w:rsidRPr="00A6194E">
        <w:rPr>
          <w:iCs/>
          <w:sz w:val="32"/>
          <w:szCs w:val="32"/>
        </w:rPr>
        <w:t xml:space="preserve">f </w:t>
      </w:r>
      <w:r w:rsidR="005160A8" w:rsidRPr="00A6194E">
        <w:rPr>
          <w:iCs/>
          <w:sz w:val="32"/>
          <w:szCs w:val="32"/>
          <w:lang w:val="en-US"/>
        </w:rPr>
        <w:t>t</w:t>
      </w:r>
      <w:r w:rsidR="005160A8" w:rsidRPr="00A6194E">
        <w:rPr>
          <w:iCs/>
          <w:sz w:val="32"/>
          <w:szCs w:val="32"/>
        </w:rPr>
        <w:t>he paper</w:t>
      </w:r>
      <w:r w:rsidR="005160A8" w:rsidRPr="00A6194E">
        <w:rPr>
          <w:iCs/>
          <w:sz w:val="32"/>
          <w:szCs w:val="32"/>
          <w:lang w:val="en-US"/>
        </w:rPr>
        <w:t xml:space="preserve"> </w:t>
      </w:r>
      <w:r w:rsidR="00904D6D" w:rsidRPr="00A6194E">
        <w:rPr>
          <w:sz w:val="32"/>
          <w:szCs w:val="32"/>
        </w:rPr>
        <w:t>(Center, Bold, 16</w:t>
      </w:r>
      <w:r w:rsidR="00F33C08" w:rsidRPr="00A6194E">
        <w:rPr>
          <w:sz w:val="32"/>
          <w:szCs w:val="32"/>
          <w:lang w:val="en-US"/>
        </w:rPr>
        <w:t>pt</w:t>
      </w:r>
      <w:r w:rsidR="00904D6D" w:rsidRPr="00A6194E">
        <w:rPr>
          <w:sz w:val="32"/>
          <w:szCs w:val="32"/>
        </w:rPr>
        <w:t>)</w:t>
      </w:r>
    </w:p>
    <w:p w14:paraId="2A832E5F" w14:textId="04FE9E51" w:rsidR="00904D6D" w:rsidRDefault="00904D6D" w:rsidP="00904D6D">
      <w:pPr>
        <w:jc w:val="center"/>
        <w:rPr>
          <w:b/>
          <w:bCs/>
        </w:rPr>
      </w:pPr>
    </w:p>
    <w:p w14:paraId="370C47FE" w14:textId="77777777" w:rsidR="005E51F9" w:rsidRPr="003D5B84" w:rsidRDefault="005E51F9" w:rsidP="00904D6D">
      <w:pPr>
        <w:jc w:val="center"/>
        <w:rPr>
          <w:b/>
          <w:bCs/>
        </w:rPr>
      </w:pPr>
    </w:p>
    <w:p w14:paraId="415EA882" w14:textId="75B179E6" w:rsidR="003B1BEF" w:rsidRDefault="00A01FAB" w:rsidP="003B1BEF">
      <w:pPr>
        <w:jc w:val="center"/>
        <w:rPr>
          <w:b/>
          <w:vertAlign w:val="superscript"/>
        </w:rPr>
      </w:pPr>
      <w:bookmarkStart w:id="1" w:name="_Hlk78549763"/>
      <w:proofErr w:type="spellStart"/>
      <w:r>
        <w:rPr>
          <w:b/>
        </w:rPr>
        <w:t>Firstname</w:t>
      </w:r>
      <w:proofErr w:type="spellEnd"/>
      <w:r w:rsidR="00A6194E" w:rsidRPr="00A6194E">
        <w:rPr>
          <w:b/>
        </w:rPr>
        <w:t xml:space="preserve"> </w:t>
      </w:r>
      <w:r>
        <w:rPr>
          <w:b/>
        </w:rPr>
        <w:t>Lastname</w:t>
      </w:r>
      <w:r w:rsidR="00343313">
        <w:rPr>
          <w:b/>
        </w:rPr>
        <w:t xml:space="preserve"> </w:t>
      </w:r>
      <w:r w:rsidR="003B1BEF">
        <w:rPr>
          <w:b/>
          <w:vertAlign w:val="superscript"/>
        </w:rPr>
        <w:t>1</w:t>
      </w:r>
      <w:r w:rsidR="003B1BEF">
        <w:rPr>
          <w:b/>
        </w:rPr>
        <w:t xml:space="preserve">, </w:t>
      </w:r>
      <w:proofErr w:type="spellStart"/>
      <w:r>
        <w:rPr>
          <w:b/>
        </w:rPr>
        <w:t>Firstname</w:t>
      </w:r>
      <w:proofErr w:type="spellEnd"/>
      <w:r w:rsidRPr="00A6194E">
        <w:rPr>
          <w:b/>
        </w:rPr>
        <w:t xml:space="preserve"> </w:t>
      </w:r>
      <w:r>
        <w:rPr>
          <w:b/>
        </w:rPr>
        <w:t>Lastname</w:t>
      </w:r>
      <w:r>
        <w:rPr>
          <w:b/>
          <w:vertAlign w:val="superscript"/>
        </w:rPr>
        <w:t xml:space="preserve"> </w:t>
      </w:r>
      <w:r w:rsidR="003B1BEF">
        <w:rPr>
          <w:b/>
          <w:vertAlign w:val="superscript"/>
        </w:rPr>
        <w:t>2</w:t>
      </w:r>
      <w:r w:rsidR="003B1BEF">
        <w:rPr>
          <w:b/>
          <w:vertAlign w:val="subscript"/>
        </w:rPr>
        <w:t xml:space="preserve">, </w:t>
      </w:r>
      <w:r w:rsidR="00947FDA">
        <w:rPr>
          <w:b/>
          <w:vertAlign w:val="subscript"/>
        </w:rPr>
        <w:br/>
      </w:r>
      <w:proofErr w:type="spellStart"/>
      <w:r>
        <w:rPr>
          <w:b/>
        </w:rPr>
        <w:t>Firstname</w:t>
      </w:r>
      <w:proofErr w:type="spellEnd"/>
      <w:r w:rsidRPr="00A6194E">
        <w:rPr>
          <w:b/>
        </w:rPr>
        <w:t xml:space="preserve"> </w:t>
      </w:r>
      <w:r>
        <w:rPr>
          <w:b/>
        </w:rPr>
        <w:t>Lastname</w:t>
      </w:r>
      <w:r w:rsidR="008C51F8">
        <w:rPr>
          <w:b/>
        </w:rPr>
        <w:t xml:space="preserve"> </w:t>
      </w:r>
      <w:r w:rsidR="00343313">
        <w:rPr>
          <w:b/>
          <w:vertAlign w:val="superscript"/>
        </w:rPr>
        <w:t>*</w:t>
      </w:r>
      <w:r w:rsidR="003B1BEF">
        <w:rPr>
          <w:b/>
          <w:vertAlign w:val="superscript"/>
        </w:rPr>
        <w:t xml:space="preserve">3 </w:t>
      </w:r>
      <w:r w:rsidR="003B1BEF">
        <w:rPr>
          <w:b/>
        </w:rPr>
        <w:t>(10pt)</w:t>
      </w:r>
    </w:p>
    <w:p w14:paraId="19608CCE" w14:textId="22309C63" w:rsidR="003B1BEF" w:rsidRDefault="003B1BEF" w:rsidP="004F0961">
      <w:pPr>
        <w:jc w:val="center"/>
        <w:rPr>
          <w:sz w:val="16"/>
          <w:szCs w:val="16"/>
        </w:rPr>
      </w:pPr>
      <w:r>
        <w:rPr>
          <w:sz w:val="16"/>
          <w:szCs w:val="16"/>
          <w:vertAlign w:val="superscript"/>
        </w:rPr>
        <w:t>1</w:t>
      </w:r>
      <w:r w:rsidR="004F0961">
        <w:rPr>
          <w:sz w:val="16"/>
          <w:szCs w:val="16"/>
          <w:vertAlign w:val="superscript"/>
        </w:rPr>
        <w:t>,</w:t>
      </w:r>
      <w:r w:rsidR="004F0961" w:rsidRPr="004F0961">
        <w:rPr>
          <w:color w:val="000000"/>
          <w:sz w:val="16"/>
          <w:szCs w:val="16"/>
          <w:vertAlign w:val="superscript"/>
        </w:rPr>
        <w:t xml:space="preserve"> </w:t>
      </w:r>
      <w:r w:rsidR="004F0961">
        <w:rPr>
          <w:color w:val="000000"/>
          <w:sz w:val="16"/>
          <w:szCs w:val="16"/>
          <w:vertAlign w:val="superscript"/>
        </w:rPr>
        <w:t>2,</w:t>
      </w:r>
      <w:r w:rsidR="00343313">
        <w:rPr>
          <w:color w:val="000000"/>
          <w:sz w:val="16"/>
          <w:szCs w:val="16"/>
          <w:vertAlign w:val="superscript"/>
        </w:rPr>
        <w:t xml:space="preserve"> </w:t>
      </w:r>
      <w:r w:rsidR="004F0961">
        <w:rPr>
          <w:color w:val="000000"/>
          <w:sz w:val="16"/>
          <w:szCs w:val="16"/>
          <w:vertAlign w:val="superscript"/>
        </w:rPr>
        <w:t xml:space="preserve">3 </w:t>
      </w:r>
      <w:r w:rsidR="004F0961">
        <w:rPr>
          <w:sz w:val="16"/>
          <w:szCs w:val="16"/>
        </w:rPr>
        <w:t>Department of Information System and Business</w:t>
      </w:r>
      <w:r w:rsidR="00343313" w:rsidRPr="00343313">
        <w:rPr>
          <w:sz w:val="16"/>
          <w:szCs w:val="16"/>
        </w:rPr>
        <w:t xml:space="preserve"> </w:t>
      </w:r>
      <w:r w:rsidR="00343313">
        <w:rPr>
          <w:sz w:val="16"/>
          <w:szCs w:val="16"/>
        </w:rPr>
        <w:t>Computer</w:t>
      </w:r>
      <w:r w:rsidR="004F0961">
        <w:rPr>
          <w:sz w:val="16"/>
          <w:szCs w:val="16"/>
        </w:rPr>
        <w:t xml:space="preserve">, Faculty of Business Administration and Information Technology, </w:t>
      </w:r>
      <w:proofErr w:type="spellStart"/>
      <w:r w:rsidR="004F0961">
        <w:rPr>
          <w:sz w:val="16"/>
          <w:szCs w:val="16"/>
        </w:rPr>
        <w:t>Rajamangala</w:t>
      </w:r>
      <w:proofErr w:type="spellEnd"/>
      <w:r w:rsidR="004F0961">
        <w:rPr>
          <w:sz w:val="16"/>
          <w:szCs w:val="16"/>
        </w:rPr>
        <w:t xml:space="preserve"> University of Technology Suvarnabhumi, Thailand. </w:t>
      </w:r>
      <w:r>
        <w:rPr>
          <w:sz w:val="16"/>
          <w:szCs w:val="16"/>
        </w:rPr>
        <w:t>(8pt)</w:t>
      </w:r>
      <w:bookmarkEnd w:id="1"/>
    </w:p>
    <w:p w14:paraId="557DF927" w14:textId="4D489A7A" w:rsidR="00904D6D" w:rsidRDefault="00904D6D" w:rsidP="0088233C">
      <w:pPr>
        <w:jc w:val="center"/>
      </w:pPr>
    </w:p>
    <w:p w14:paraId="5CCC3BE9" w14:textId="440424D7" w:rsidR="00C07BEF" w:rsidRDefault="00C07BEF" w:rsidP="0088233C">
      <w:pPr>
        <w:jc w:val="center"/>
      </w:pPr>
    </w:p>
    <w:tbl>
      <w:tblPr>
        <w:tblStyle w:val="TableGrid"/>
        <w:tblW w:w="8845" w:type="dxa"/>
        <w:jc w:val="center"/>
        <w:tblLook w:val="04A0" w:firstRow="1" w:lastRow="0" w:firstColumn="1" w:lastColumn="0" w:noHBand="0" w:noVBand="1"/>
      </w:tblPr>
      <w:tblGrid>
        <w:gridCol w:w="2788"/>
        <w:gridCol w:w="282"/>
        <w:gridCol w:w="5775"/>
      </w:tblGrid>
      <w:tr w:rsidR="006B027E" w14:paraId="513CAD48" w14:textId="77777777" w:rsidTr="00A01FAB">
        <w:trPr>
          <w:jc w:val="center"/>
        </w:trPr>
        <w:tc>
          <w:tcPr>
            <w:tcW w:w="2788" w:type="dxa"/>
            <w:tcBorders>
              <w:top w:val="double" w:sz="4" w:space="0" w:color="auto"/>
              <w:left w:val="nil"/>
              <w:bottom w:val="single" w:sz="4" w:space="0" w:color="auto"/>
              <w:right w:val="nil"/>
            </w:tcBorders>
          </w:tcPr>
          <w:p w14:paraId="22234552" w14:textId="77777777" w:rsidR="00957C11" w:rsidRPr="00957C11" w:rsidRDefault="00957C11" w:rsidP="00957C11">
            <w:pPr>
              <w:spacing w:before="120"/>
              <w:jc w:val="both"/>
              <w:rPr>
                <w:b/>
              </w:rPr>
            </w:pPr>
            <w:r w:rsidRPr="00957C11">
              <w:rPr>
                <w:b/>
              </w:rPr>
              <w:t>Article Info</w:t>
            </w:r>
          </w:p>
        </w:tc>
        <w:tc>
          <w:tcPr>
            <w:tcW w:w="282" w:type="dxa"/>
            <w:tcBorders>
              <w:top w:val="double" w:sz="4" w:space="0" w:color="auto"/>
              <w:left w:val="nil"/>
              <w:bottom w:val="nil"/>
              <w:right w:val="nil"/>
            </w:tcBorders>
          </w:tcPr>
          <w:p w14:paraId="3E270EF1" w14:textId="77777777" w:rsidR="00957C11" w:rsidRDefault="00957C11" w:rsidP="00957C11">
            <w:pPr>
              <w:spacing w:before="120"/>
              <w:jc w:val="center"/>
            </w:pPr>
          </w:p>
        </w:tc>
        <w:tc>
          <w:tcPr>
            <w:tcW w:w="5775" w:type="dxa"/>
            <w:tcBorders>
              <w:top w:val="double" w:sz="4" w:space="0" w:color="auto"/>
              <w:left w:val="nil"/>
              <w:bottom w:val="single" w:sz="4" w:space="0" w:color="auto"/>
              <w:right w:val="nil"/>
            </w:tcBorders>
          </w:tcPr>
          <w:p w14:paraId="7B74F735" w14:textId="77777777"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14:paraId="66C69584" w14:textId="77777777" w:rsidTr="00A01FAB">
        <w:trPr>
          <w:trHeight w:val="1268"/>
          <w:jc w:val="center"/>
        </w:trPr>
        <w:tc>
          <w:tcPr>
            <w:tcW w:w="2788" w:type="dxa"/>
            <w:tcBorders>
              <w:top w:val="single" w:sz="4" w:space="0" w:color="auto"/>
              <w:left w:val="nil"/>
              <w:bottom w:val="single" w:sz="4" w:space="0" w:color="auto"/>
              <w:right w:val="nil"/>
            </w:tcBorders>
          </w:tcPr>
          <w:p w14:paraId="1FD074E8" w14:textId="77777777" w:rsidR="00941203" w:rsidRPr="007F286F" w:rsidRDefault="00941203" w:rsidP="00941203">
            <w:pPr>
              <w:spacing w:before="120" w:after="120"/>
              <w:jc w:val="both"/>
              <w:rPr>
                <w:b/>
                <w:i/>
              </w:rPr>
            </w:pPr>
            <w:r w:rsidRPr="007F286F">
              <w:rPr>
                <w:b/>
                <w:i/>
              </w:rPr>
              <w:t>Article history:</w:t>
            </w:r>
          </w:p>
          <w:p w14:paraId="1B21A247" w14:textId="2C3DA53D" w:rsidR="00941203" w:rsidRDefault="00941203" w:rsidP="00957C11">
            <w:pPr>
              <w:jc w:val="both"/>
            </w:pPr>
            <w:r w:rsidRPr="00957C11">
              <w:t>Received</w:t>
            </w:r>
            <w:r>
              <w:t xml:space="preserve"> </w:t>
            </w:r>
            <w:r w:rsidR="00523156" w:rsidRPr="00523156">
              <w:t>m</w:t>
            </w:r>
            <w:r w:rsidR="00E022D7">
              <w:t>onth</w:t>
            </w:r>
            <w:r w:rsidR="00523156" w:rsidRPr="00523156">
              <w:t xml:space="preserve"> dd, </w:t>
            </w:r>
            <w:proofErr w:type="spellStart"/>
            <w:r w:rsidR="00523156" w:rsidRPr="00523156">
              <w:t>yyyy</w:t>
            </w:r>
            <w:proofErr w:type="spellEnd"/>
          </w:p>
          <w:p w14:paraId="745B47E5" w14:textId="4C653D38" w:rsidR="00941203" w:rsidRDefault="00941203" w:rsidP="00957C11">
            <w:pPr>
              <w:jc w:val="both"/>
            </w:pPr>
            <w:r>
              <w:t xml:space="preserve">Revised </w:t>
            </w:r>
            <w:r w:rsidR="00E022D7" w:rsidRPr="00523156">
              <w:t>m</w:t>
            </w:r>
            <w:r w:rsidR="00E022D7">
              <w:t>onth</w:t>
            </w:r>
            <w:r w:rsidR="00523156" w:rsidRPr="00523156">
              <w:t xml:space="preserve"> dd, </w:t>
            </w:r>
            <w:proofErr w:type="spellStart"/>
            <w:r w:rsidR="00523156" w:rsidRPr="00523156">
              <w:t>yyyy</w:t>
            </w:r>
            <w:proofErr w:type="spellEnd"/>
          </w:p>
          <w:p w14:paraId="6CE20EAE" w14:textId="534C215A" w:rsidR="00941203" w:rsidRDefault="00941203" w:rsidP="00957C11">
            <w:pPr>
              <w:jc w:val="both"/>
            </w:pPr>
            <w:r>
              <w:t xml:space="preserve">Accepted </w:t>
            </w:r>
            <w:r w:rsidR="00E022D7" w:rsidRPr="00523156">
              <w:t>m</w:t>
            </w:r>
            <w:r w:rsidR="00E022D7">
              <w:t>onth</w:t>
            </w:r>
            <w:r w:rsidR="00523156" w:rsidRPr="00523156">
              <w:t xml:space="preserve"> dd, </w:t>
            </w:r>
            <w:proofErr w:type="spellStart"/>
            <w:r w:rsidR="00523156" w:rsidRPr="00523156">
              <w:t>yyyy</w:t>
            </w:r>
            <w:proofErr w:type="spellEnd"/>
          </w:p>
          <w:p w14:paraId="375A1808" w14:textId="77777777" w:rsidR="00941203" w:rsidRPr="00957C11" w:rsidRDefault="00941203" w:rsidP="00941203">
            <w:pPr>
              <w:jc w:val="both"/>
            </w:pPr>
          </w:p>
        </w:tc>
        <w:tc>
          <w:tcPr>
            <w:tcW w:w="282" w:type="dxa"/>
            <w:vMerge w:val="restart"/>
            <w:tcBorders>
              <w:top w:val="nil"/>
              <w:left w:val="nil"/>
              <w:bottom w:val="nil"/>
              <w:right w:val="nil"/>
            </w:tcBorders>
          </w:tcPr>
          <w:p w14:paraId="1658B743" w14:textId="77777777" w:rsidR="00941203" w:rsidRDefault="00941203" w:rsidP="00957C11">
            <w:pPr>
              <w:spacing w:before="120"/>
              <w:jc w:val="both"/>
            </w:pPr>
          </w:p>
        </w:tc>
        <w:tc>
          <w:tcPr>
            <w:tcW w:w="5775" w:type="dxa"/>
            <w:vMerge w:val="restart"/>
            <w:tcBorders>
              <w:top w:val="single" w:sz="4" w:space="0" w:color="auto"/>
              <w:left w:val="nil"/>
              <w:bottom w:val="nil"/>
              <w:right w:val="nil"/>
            </w:tcBorders>
          </w:tcPr>
          <w:p w14:paraId="647B3C56" w14:textId="7D9148F3" w:rsidR="00941203" w:rsidRPr="00957C11" w:rsidRDefault="003B1BEF" w:rsidP="00957C11">
            <w:pPr>
              <w:spacing w:before="120"/>
              <w:jc w:val="both"/>
            </w:pPr>
            <w:r>
              <w:rPr>
                <w:iCs/>
                <w:color w:val="000000"/>
                <w:sz w:val="18"/>
                <w:szCs w:val="18"/>
              </w:rPr>
              <w:t xml:space="preserve">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 The abstract should be informative and completely self-explanatory, provide a clear statement of the problem, the proposed approach or solution, and point out major findings and conclusions. </w:t>
            </w:r>
            <w:r>
              <w:rPr>
                <w:b/>
                <w:bCs/>
                <w:iCs/>
                <w:color w:val="000000"/>
                <w:sz w:val="18"/>
                <w:szCs w:val="18"/>
              </w:rPr>
              <w:t xml:space="preserve">The Abstract should be </w:t>
            </w:r>
            <w:r w:rsidR="0082721D">
              <w:rPr>
                <w:b/>
                <w:bCs/>
                <w:iCs/>
                <w:color w:val="000000"/>
                <w:sz w:val="18"/>
                <w:szCs w:val="18"/>
              </w:rPr>
              <w:t>2</w:t>
            </w:r>
            <w:r>
              <w:rPr>
                <w:b/>
                <w:bCs/>
                <w:iCs/>
                <w:color w:val="000000"/>
                <w:sz w:val="18"/>
                <w:szCs w:val="18"/>
              </w:rPr>
              <w:t xml:space="preserve">00 to </w:t>
            </w:r>
            <w:r w:rsidR="0082721D">
              <w:rPr>
                <w:b/>
                <w:bCs/>
                <w:iCs/>
                <w:color w:val="000000"/>
                <w:sz w:val="18"/>
                <w:szCs w:val="18"/>
              </w:rPr>
              <w:t>3</w:t>
            </w:r>
            <w:r>
              <w:rPr>
                <w:b/>
                <w:bCs/>
                <w:iCs/>
                <w:color w:val="000000"/>
                <w:sz w:val="18"/>
                <w:szCs w:val="18"/>
              </w:rPr>
              <w:t xml:space="preserve">00 words in length. </w:t>
            </w:r>
            <w:r>
              <w:rPr>
                <w:iCs/>
                <w:color w:val="000000"/>
                <w:sz w:val="18"/>
                <w:szCs w:val="18"/>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 The keyword list provides the opportunity to add 5 to 7 keywords, used by the indexing and abstracting services, in addition to those already present in the title (9 pt).</w:t>
            </w:r>
          </w:p>
        </w:tc>
      </w:tr>
      <w:tr w:rsidR="00941203" w14:paraId="5AB61300" w14:textId="77777777" w:rsidTr="00A01FAB">
        <w:trPr>
          <w:trHeight w:val="1231"/>
          <w:jc w:val="center"/>
        </w:trPr>
        <w:tc>
          <w:tcPr>
            <w:tcW w:w="2788" w:type="dxa"/>
            <w:tcBorders>
              <w:top w:val="single" w:sz="4" w:space="0" w:color="auto"/>
              <w:left w:val="nil"/>
              <w:bottom w:val="single" w:sz="4" w:space="0" w:color="auto"/>
              <w:right w:val="nil"/>
            </w:tcBorders>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77777777" w:rsidR="00941203" w:rsidRDefault="00941203" w:rsidP="00941203">
            <w:pPr>
              <w:jc w:val="both"/>
            </w:pPr>
            <w:r>
              <w:t>First keyword</w:t>
            </w:r>
          </w:p>
          <w:p w14:paraId="0EF152BF" w14:textId="77777777" w:rsidR="00941203" w:rsidRDefault="00941203" w:rsidP="00941203">
            <w:pPr>
              <w:jc w:val="both"/>
            </w:pPr>
            <w:r>
              <w:t>Second keyword</w:t>
            </w:r>
          </w:p>
          <w:p w14:paraId="5B0032F7" w14:textId="77777777" w:rsidR="00941203" w:rsidRDefault="00941203" w:rsidP="00941203">
            <w:pPr>
              <w:jc w:val="both"/>
            </w:pPr>
            <w:r>
              <w:t>Third keyword</w:t>
            </w:r>
          </w:p>
          <w:p w14:paraId="31B015CF" w14:textId="77777777" w:rsidR="00941203" w:rsidRDefault="00941203" w:rsidP="00941203">
            <w:pPr>
              <w:jc w:val="both"/>
            </w:pPr>
            <w:r>
              <w:t>Fourth keyword</w:t>
            </w:r>
          </w:p>
          <w:p w14:paraId="4B416523" w14:textId="77777777" w:rsidR="00941203" w:rsidRPr="007F286F" w:rsidRDefault="00941203" w:rsidP="00941203">
            <w:pPr>
              <w:jc w:val="both"/>
              <w:rPr>
                <w:b/>
                <w:i/>
              </w:rPr>
            </w:pPr>
            <w:r>
              <w:t>Fifth keyword</w:t>
            </w:r>
          </w:p>
        </w:tc>
        <w:tc>
          <w:tcPr>
            <w:tcW w:w="282" w:type="dxa"/>
            <w:vMerge/>
            <w:tcBorders>
              <w:top w:val="nil"/>
              <w:left w:val="nil"/>
              <w:bottom w:val="nil"/>
              <w:right w:val="nil"/>
            </w:tcBorders>
          </w:tcPr>
          <w:p w14:paraId="26D1DFBC" w14:textId="77777777" w:rsidR="00941203" w:rsidRDefault="00941203" w:rsidP="00957C11">
            <w:pPr>
              <w:spacing w:before="120"/>
              <w:jc w:val="both"/>
            </w:pPr>
          </w:p>
        </w:tc>
        <w:tc>
          <w:tcPr>
            <w:tcW w:w="5775" w:type="dxa"/>
            <w:vMerge/>
            <w:tcBorders>
              <w:top w:val="nil"/>
              <w:left w:val="nil"/>
              <w:bottom w:val="nil"/>
              <w:right w:val="nil"/>
            </w:tcBorders>
          </w:tcPr>
          <w:p w14:paraId="5C80F7FA" w14:textId="77777777" w:rsidR="00941203" w:rsidRPr="00957C11" w:rsidRDefault="00941203" w:rsidP="00957C11">
            <w:pPr>
              <w:spacing w:before="120"/>
              <w:jc w:val="both"/>
              <w:rPr>
                <w:iCs/>
                <w:color w:val="000000"/>
                <w:sz w:val="18"/>
                <w:szCs w:val="18"/>
              </w:rPr>
            </w:pPr>
          </w:p>
        </w:tc>
      </w:tr>
      <w:tr w:rsidR="007F286F" w14:paraId="294A13ED" w14:textId="77777777" w:rsidTr="00A01FAB">
        <w:trPr>
          <w:jc w:val="center"/>
        </w:trPr>
        <w:tc>
          <w:tcPr>
            <w:tcW w:w="8845" w:type="dxa"/>
            <w:gridSpan w:val="3"/>
            <w:tcBorders>
              <w:top w:val="nil"/>
              <w:left w:val="nil"/>
              <w:bottom w:val="double" w:sz="4" w:space="0" w:color="auto"/>
              <w:right w:val="nil"/>
            </w:tcBorders>
          </w:tcPr>
          <w:p w14:paraId="49D20AE3" w14:textId="77777777" w:rsidR="007F286F" w:rsidRPr="007F286F" w:rsidRDefault="007F286F" w:rsidP="00941203">
            <w:pPr>
              <w:spacing w:before="120" w:after="120"/>
              <w:rPr>
                <w:b/>
                <w:i/>
              </w:rPr>
            </w:pPr>
            <w:r w:rsidRPr="007F286F">
              <w:rPr>
                <w:b/>
                <w:i/>
              </w:rPr>
              <w:t>Corresponding Author:</w:t>
            </w:r>
          </w:p>
          <w:p w14:paraId="3C411EDF" w14:textId="2BF231C7" w:rsidR="00941203" w:rsidRPr="00957C11" w:rsidRDefault="00A01FAB" w:rsidP="003B1BEF">
            <w:pPr>
              <w:spacing w:after="120"/>
              <w:rPr>
                <w:color w:val="000000"/>
                <w:sz w:val="18"/>
                <w:szCs w:val="18"/>
              </w:rPr>
            </w:pPr>
            <w:proofErr w:type="spellStart"/>
            <w:r>
              <w:t>Firstname</w:t>
            </w:r>
            <w:proofErr w:type="spellEnd"/>
            <w:r>
              <w:t xml:space="preserve"> Lastname</w:t>
            </w:r>
            <w:r w:rsidR="007B79C9" w:rsidRPr="007B79C9">
              <w:t xml:space="preserve"> </w:t>
            </w:r>
            <w:r w:rsidR="007B79C9">
              <w:br/>
            </w:r>
            <w:proofErr w:type="spellStart"/>
            <w:r w:rsidR="00142471" w:rsidRPr="007B79C9">
              <w:rPr>
                <w:lang w:val="es-MX"/>
              </w:rPr>
              <w:t>Department</w:t>
            </w:r>
            <w:proofErr w:type="spellEnd"/>
            <w:r w:rsidR="00142471" w:rsidRPr="007B79C9">
              <w:rPr>
                <w:lang w:val="es-MX"/>
              </w:rPr>
              <w:t xml:space="preserve"> </w:t>
            </w:r>
            <w:proofErr w:type="spellStart"/>
            <w:r w:rsidR="00142471" w:rsidRPr="007B79C9">
              <w:rPr>
                <w:lang w:val="es-MX"/>
              </w:rPr>
              <w:t>of</w:t>
            </w:r>
            <w:proofErr w:type="spellEnd"/>
            <w:r w:rsidR="00142471" w:rsidRPr="007B79C9">
              <w:rPr>
                <w:lang w:val="es-MX"/>
              </w:rPr>
              <w:t xml:space="preserve"> </w:t>
            </w:r>
            <w:proofErr w:type="spellStart"/>
            <w:r w:rsidR="00142471">
              <w:rPr>
                <w:lang w:val="es-MX"/>
              </w:rPr>
              <w:t>Information</w:t>
            </w:r>
            <w:proofErr w:type="spellEnd"/>
            <w:r w:rsidR="00142471">
              <w:rPr>
                <w:lang w:val="es-MX"/>
              </w:rPr>
              <w:t xml:space="preserve"> </w:t>
            </w:r>
            <w:proofErr w:type="spellStart"/>
            <w:r w:rsidR="00142471">
              <w:rPr>
                <w:lang w:val="es-MX"/>
              </w:rPr>
              <w:t>System</w:t>
            </w:r>
            <w:proofErr w:type="spellEnd"/>
            <w:r w:rsidR="00142471">
              <w:rPr>
                <w:lang w:val="es-MX"/>
              </w:rPr>
              <w:t xml:space="preserve"> and Business</w:t>
            </w:r>
            <w:r w:rsidR="00343313">
              <w:rPr>
                <w:lang w:val="es-MX"/>
              </w:rPr>
              <w:t xml:space="preserve"> </w:t>
            </w:r>
            <w:proofErr w:type="spellStart"/>
            <w:r w:rsidR="00343313">
              <w:rPr>
                <w:lang w:val="es-MX"/>
              </w:rPr>
              <w:t>Computer</w:t>
            </w:r>
            <w:proofErr w:type="spellEnd"/>
            <w:r w:rsidR="00142471">
              <w:rPr>
                <w:lang w:val="es-MX"/>
              </w:rPr>
              <w:t xml:space="preserve">, </w:t>
            </w:r>
            <w:proofErr w:type="spellStart"/>
            <w:r w:rsidR="00142471">
              <w:rPr>
                <w:lang w:val="es-MX"/>
              </w:rPr>
              <w:t>Faculty</w:t>
            </w:r>
            <w:proofErr w:type="spellEnd"/>
            <w:r w:rsidR="00142471">
              <w:rPr>
                <w:lang w:val="es-MX"/>
              </w:rPr>
              <w:t xml:space="preserve"> </w:t>
            </w:r>
            <w:proofErr w:type="spellStart"/>
            <w:r w:rsidR="00142471">
              <w:rPr>
                <w:lang w:val="es-MX"/>
              </w:rPr>
              <w:t>of</w:t>
            </w:r>
            <w:proofErr w:type="spellEnd"/>
            <w:r w:rsidR="00142471">
              <w:rPr>
                <w:lang w:val="es-MX"/>
              </w:rPr>
              <w:t xml:space="preserve"> Business </w:t>
            </w:r>
            <w:proofErr w:type="spellStart"/>
            <w:r w:rsidR="00142471">
              <w:rPr>
                <w:lang w:val="es-MX"/>
              </w:rPr>
              <w:t>Administration</w:t>
            </w:r>
            <w:proofErr w:type="spellEnd"/>
            <w:r w:rsidR="00142471">
              <w:rPr>
                <w:lang w:val="es-MX"/>
              </w:rPr>
              <w:t xml:space="preserve"> and </w:t>
            </w:r>
            <w:proofErr w:type="spellStart"/>
            <w:r w:rsidR="00142471">
              <w:rPr>
                <w:lang w:val="es-MX"/>
              </w:rPr>
              <w:t>Information</w:t>
            </w:r>
            <w:proofErr w:type="spellEnd"/>
            <w:r w:rsidR="00142471">
              <w:rPr>
                <w:lang w:val="es-MX"/>
              </w:rPr>
              <w:t xml:space="preserve"> </w:t>
            </w:r>
            <w:proofErr w:type="spellStart"/>
            <w:r w:rsidR="00142471">
              <w:rPr>
                <w:lang w:val="es-MX"/>
              </w:rPr>
              <w:t>Technology</w:t>
            </w:r>
            <w:proofErr w:type="spellEnd"/>
            <w:r w:rsidR="00142471">
              <w:rPr>
                <w:lang w:val="es-MX"/>
              </w:rPr>
              <w:t xml:space="preserve">, </w:t>
            </w:r>
            <w:proofErr w:type="spellStart"/>
            <w:r w:rsidR="00142471">
              <w:rPr>
                <w:lang w:val="es-MX"/>
              </w:rPr>
              <w:t>Rajamangala</w:t>
            </w:r>
            <w:proofErr w:type="spellEnd"/>
            <w:r w:rsidR="00142471">
              <w:rPr>
                <w:lang w:val="es-MX"/>
              </w:rPr>
              <w:t xml:space="preserve"> </w:t>
            </w:r>
            <w:proofErr w:type="spellStart"/>
            <w:r w:rsidR="00142471">
              <w:rPr>
                <w:lang w:val="es-MX"/>
              </w:rPr>
              <w:t>University</w:t>
            </w:r>
            <w:proofErr w:type="spellEnd"/>
            <w:r w:rsidR="00142471">
              <w:rPr>
                <w:lang w:val="es-MX"/>
              </w:rPr>
              <w:t xml:space="preserve"> </w:t>
            </w:r>
            <w:proofErr w:type="spellStart"/>
            <w:r w:rsidR="00142471">
              <w:rPr>
                <w:lang w:val="es-MX"/>
              </w:rPr>
              <w:t>of</w:t>
            </w:r>
            <w:proofErr w:type="spellEnd"/>
            <w:r w:rsidR="00142471">
              <w:rPr>
                <w:lang w:val="es-MX"/>
              </w:rPr>
              <w:t xml:space="preserve"> </w:t>
            </w:r>
            <w:proofErr w:type="spellStart"/>
            <w:r w:rsidR="00142471">
              <w:rPr>
                <w:lang w:val="es-MX"/>
              </w:rPr>
              <w:t>Technology</w:t>
            </w:r>
            <w:proofErr w:type="spellEnd"/>
            <w:r w:rsidR="00142471">
              <w:rPr>
                <w:lang w:val="es-MX"/>
              </w:rPr>
              <w:t xml:space="preserve"> </w:t>
            </w:r>
            <w:proofErr w:type="spellStart"/>
            <w:r w:rsidR="00142471">
              <w:rPr>
                <w:lang w:val="es-MX"/>
              </w:rPr>
              <w:t>Suvarnabhumi</w:t>
            </w:r>
            <w:proofErr w:type="spellEnd"/>
            <w:r w:rsidR="00142471">
              <w:rPr>
                <w:lang w:val="es-MX"/>
              </w:rPr>
              <w:br/>
              <w:t xml:space="preserve">19 Moo 3 </w:t>
            </w:r>
            <w:proofErr w:type="spellStart"/>
            <w:r w:rsidR="00142471">
              <w:rPr>
                <w:lang w:val="es-MX"/>
              </w:rPr>
              <w:t>Tha</w:t>
            </w:r>
            <w:proofErr w:type="spellEnd"/>
            <w:r w:rsidR="00142471">
              <w:rPr>
                <w:lang w:val="es-MX"/>
              </w:rPr>
              <w:t xml:space="preserve"> Wa Su </w:t>
            </w:r>
            <w:proofErr w:type="spellStart"/>
            <w:r w:rsidR="00142471">
              <w:rPr>
                <w:lang w:val="es-MX"/>
              </w:rPr>
              <w:t>Kri</w:t>
            </w:r>
            <w:proofErr w:type="spellEnd"/>
            <w:r w:rsidR="00142471">
              <w:rPr>
                <w:lang w:val="es-MX"/>
              </w:rPr>
              <w:t xml:space="preserve">, </w:t>
            </w:r>
            <w:proofErr w:type="spellStart"/>
            <w:r w:rsidR="00142471">
              <w:rPr>
                <w:lang w:val="es-MX"/>
              </w:rPr>
              <w:t>Phra</w:t>
            </w:r>
            <w:proofErr w:type="spellEnd"/>
            <w:r w:rsidR="00142471">
              <w:rPr>
                <w:lang w:val="es-MX"/>
              </w:rPr>
              <w:t xml:space="preserve"> </w:t>
            </w:r>
            <w:proofErr w:type="spellStart"/>
            <w:r w:rsidR="00142471">
              <w:rPr>
                <w:lang w:val="es-MX"/>
              </w:rPr>
              <w:t>Nakhon</w:t>
            </w:r>
            <w:proofErr w:type="spellEnd"/>
            <w:r w:rsidR="00142471">
              <w:rPr>
                <w:lang w:val="es-MX"/>
              </w:rPr>
              <w:t xml:space="preserve"> Si </w:t>
            </w:r>
            <w:proofErr w:type="spellStart"/>
            <w:r w:rsidR="00142471">
              <w:rPr>
                <w:lang w:val="es-MX"/>
              </w:rPr>
              <w:t>Ayuttaya</w:t>
            </w:r>
            <w:proofErr w:type="spellEnd"/>
            <w:r w:rsidR="00142471" w:rsidRPr="007B79C9">
              <w:rPr>
                <w:lang w:val="es-MX"/>
              </w:rPr>
              <w:t xml:space="preserve">, </w:t>
            </w:r>
            <w:proofErr w:type="spellStart"/>
            <w:r w:rsidR="00142471">
              <w:rPr>
                <w:lang w:val="es-MX"/>
              </w:rPr>
              <w:t>Thailand</w:t>
            </w:r>
            <w:proofErr w:type="spellEnd"/>
            <w:r w:rsidR="007B79C9">
              <w:rPr>
                <w:lang w:val="es-MX"/>
              </w:rPr>
              <w:br/>
            </w:r>
            <w:r w:rsidR="003B1BEF">
              <w:t xml:space="preserve">Email: </w:t>
            </w:r>
            <w:r>
              <w:t>tmdijournal</w:t>
            </w:r>
            <w:r w:rsidR="003B1BEF">
              <w:t>@</w:t>
            </w:r>
            <w:r>
              <w:t>rmutsb.ac.th</w:t>
            </w:r>
          </w:p>
        </w:tc>
      </w:tr>
    </w:tbl>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77777777"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(10 PT)</w:t>
      </w:r>
    </w:p>
    <w:p w14:paraId="2247CDE2" w14:textId="32C48204" w:rsidR="00E619D6" w:rsidRPr="00E022D7" w:rsidRDefault="00E022D7" w:rsidP="00E619D6">
      <w:pPr>
        <w:ind w:firstLine="720"/>
        <w:jc w:val="both"/>
      </w:pPr>
      <w:bookmarkStart w:id="2" w:name="_Hlk80000636"/>
      <w:r w:rsidRPr="003D6B19">
        <w:rPr>
          <w:lang w:val="id-ID"/>
        </w:rPr>
        <w:t>The main text format consists of a flat left-right columns on A4 paper (quarto). The margin text from the left</w:t>
      </w:r>
      <w:r w:rsidRPr="003D6B19">
        <w:t xml:space="preserve"> and </w:t>
      </w:r>
      <w:r w:rsidRPr="003D6B19">
        <w:rPr>
          <w:lang w:val="id-ID"/>
        </w:rPr>
        <w:t>top</w:t>
      </w:r>
      <w:r w:rsidRPr="003D6B19">
        <w:t xml:space="preserve"> are 2.5 cm</w:t>
      </w:r>
      <w:r w:rsidRPr="003D6B19">
        <w:rPr>
          <w:lang w:val="id-ID"/>
        </w:rPr>
        <w:t xml:space="preserve">, </w:t>
      </w:r>
      <w:r w:rsidRPr="003D6B19">
        <w:t xml:space="preserve">right </w:t>
      </w:r>
      <w:r w:rsidRPr="003D6B19">
        <w:rPr>
          <w:lang w:val="id-ID"/>
        </w:rPr>
        <w:t>and bottom</w:t>
      </w:r>
      <w:r w:rsidRPr="003D6B19">
        <w:t xml:space="preserve"> are</w:t>
      </w:r>
      <w:r w:rsidRPr="003D6B19">
        <w:rPr>
          <w:lang w:val="id-ID"/>
        </w:rPr>
        <w:t xml:space="preserve"> </w:t>
      </w:r>
      <w:r w:rsidRPr="003D6B19">
        <w:t>2</w:t>
      </w:r>
      <w:r w:rsidRPr="003D6B19">
        <w:rPr>
          <w:lang w:val="id-ID"/>
        </w:rPr>
        <w:t xml:space="preserve"> cm. The manuscript is written in Microsoft Word, single space, </w:t>
      </w:r>
      <w:r w:rsidRPr="003D6B19">
        <w:t>Time New Roman</w:t>
      </w:r>
      <w:r w:rsidRPr="003D6B19">
        <w:rPr>
          <w:lang w:val="id-ID"/>
        </w:rPr>
        <w:t xml:space="preserve"> 10</w:t>
      </w:r>
      <w:r w:rsidRPr="003D6B19">
        <w:t xml:space="preserve"> </w:t>
      </w:r>
      <w:r w:rsidRPr="003D6B19">
        <w:rPr>
          <w:lang w:val="id-ID"/>
        </w:rPr>
        <w:t>pt</w:t>
      </w:r>
      <w:r>
        <w:t>,</w:t>
      </w:r>
      <w:r w:rsidRPr="003D6B19">
        <w:rPr>
          <w:lang w:val="id-ID"/>
        </w:rPr>
        <w:t xml:space="preserve"> and maximum 1</w:t>
      </w:r>
      <w:r w:rsidR="00E9427E">
        <w:rPr>
          <w:lang w:val="id-ID"/>
        </w:rPr>
        <w:t>0</w:t>
      </w:r>
      <w:r w:rsidRPr="003D6B19">
        <w:rPr>
          <w:lang w:val="id-ID"/>
        </w:rPr>
        <w:t xml:space="preserve"> pages</w:t>
      </w:r>
      <w:r>
        <w:t xml:space="preserve"> for original research article</w:t>
      </w:r>
      <w:bookmarkEnd w:id="2"/>
      <w:r w:rsidR="00E9427E">
        <w:t>.</w:t>
      </w:r>
    </w:p>
    <w:p w14:paraId="45BB713B" w14:textId="2332896C" w:rsidR="00E022D7" w:rsidRPr="003D6B19" w:rsidRDefault="00E022D7" w:rsidP="00E022D7">
      <w:pPr>
        <w:ind w:firstLine="720"/>
        <w:jc w:val="both"/>
      </w:pPr>
      <w:bookmarkStart w:id="3" w:name="_Hlk80000657"/>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xml:space="preserve">: </w:t>
      </w:r>
      <w:proofErr w:type="spellStart"/>
      <w:r w:rsidRPr="003D6B19">
        <w:rPr>
          <w:lang w:val="en-ID"/>
        </w:rPr>
        <w:t>i</w:t>
      </w:r>
      <w:proofErr w:type="spellEnd"/>
      <w:r w:rsidRPr="003D6B19">
        <w:rPr>
          <w:lang w:val="en-ID"/>
        </w:rPr>
        <w:t>)</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It should be understandable to colleagues from a broad range of scientific disciplines. Organization and citation of the bibliography are made in</w:t>
      </w:r>
      <w:r w:rsidRPr="003D6B19">
        <w:t xml:space="preserve"> </w:t>
      </w:r>
      <w:r w:rsidRPr="003D6B19">
        <w:rPr>
          <w:lang w:val="id-ID"/>
        </w:rPr>
        <w:t>Institute of Electrical and Electronics Engineers</w:t>
      </w:r>
      <w:r w:rsidRPr="003D6B19">
        <w:t xml:space="preserve"> (IEEE)</w:t>
      </w:r>
      <w:r w:rsidRPr="003D6B19">
        <w:rPr>
          <w:lang w:val="id-ID"/>
        </w:rPr>
        <w:t xml:space="preserve"> style in sign </w:t>
      </w:r>
      <w:r>
        <w:rPr>
          <w:lang w:val="id-ID"/>
        </w:rPr>
        <w:fldChar w:fldCharType="begin" w:fldLock="1"/>
      </w:r>
      <w:r w:rsidR="00EF1162">
        <w:rPr>
          <w:lang w:val="id-ID"/>
        </w:rPr>
        <w:instrText>ADDIN CSL_CITATION {"citationItems":[{"id":"ITEM-1","itemData":{"DOI":"10.1049/hve.2019.0003","ISSN":"2397-7264","author":[{"dropping-particle":"","family":"Jovcic","given":"Dragan","non-dropping-particle":"","parse-names":false,"suffix":""}],"container-title":"High Voltage","id":"ITEM-1","issue":"2","issued":{"date-parts":[["2019","6","30"]]},"page":"130-137","title":"Series LC DC circuit breaker","type":"article-journal","volume":"4"},"uris":["http://www.mendeley.com/documents/?uuid=7c23b9bd-e8ca-49ad-adcd-d44099c2ef9d"]}],"mendeley":{"formattedCitation":"[1]","plainTextFormattedCitation":"[1]","previouslyFormattedCitation":"[1]"},"properties":{"noteIndex":0},"schema":"https://github.com/citation-style-language/schema/raw/master/csl-citation.json"}</w:instrText>
      </w:r>
      <w:r>
        <w:rPr>
          <w:lang w:val="id-ID"/>
        </w:rPr>
        <w:fldChar w:fldCharType="separate"/>
      </w:r>
      <w:r w:rsidRPr="00162062">
        <w:rPr>
          <w:noProof/>
          <w:lang w:val="id-ID"/>
        </w:rPr>
        <w:t>[1]</w:t>
      </w:r>
      <w:r>
        <w:rPr>
          <w:lang w:val="id-ID"/>
        </w:rPr>
        <w:fldChar w:fldCharType="end"/>
      </w:r>
      <w:r w:rsidRPr="00162062">
        <w:rPr>
          <w:lang w:val="id-ID"/>
        </w:rPr>
        <w:t xml:space="preserve">, </w:t>
      </w:r>
      <w:r>
        <w:rPr>
          <w:lang w:val="id-ID"/>
        </w:rPr>
        <w:fldChar w:fldCharType="begin" w:fldLock="1"/>
      </w:r>
      <w:r w:rsidR="00EF1162">
        <w:rPr>
          <w:lang w:val="id-ID"/>
        </w:rPr>
        <w:instrText>ADDIN CSL_CITATION {"citationItems":[{"id":"ITEM-1","itemData":{"DOI":"10.1016/j.epsr.2020.106545","ISSN":"03787796","author":[{"dropping-particle":"","family":"Pareek","given":"Parikshit","non-dropping-particle":"","parse-names":false,"suffix":""},{"dropping-particle":"","family":"Nguyen","given":"Hung D.","non-dropping-particle":"","parse-names":false,"suffix":""}],"container-title":"Electric Power Systems Research","id":"ITEM-1","issued":{"date-parts":[["2020","11"]]},"page":"106545","title":"Probabilistic robust small-signal stability framework using gaussian process learning","type":"article-journal","volume":"188"},"uris":["http://www.mendeley.com/documents/?uuid=04eb2a5e-dee5-4ee8-8cf6-17cfbb004621"]}],"mendeley":{"formattedCitation":"[2]","plainTextFormattedCitation":"[2]","previouslyFormattedCitation":"[2]"},"properties":{"noteIndex":0},"schema":"https://github.com/citation-style-language/schema/raw/master/csl-citation.json"}</w:instrText>
      </w:r>
      <w:r>
        <w:rPr>
          <w:lang w:val="id-ID"/>
        </w:rPr>
        <w:fldChar w:fldCharType="separate"/>
      </w:r>
      <w:r w:rsidRPr="00162062">
        <w:rPr>
          <w:noProof/>
          <w:lang w:val="id-ID"/>
        </w:rPr>
        <w:t>[2]</w:t>
      </w:r>
      <w:r>
        <w:rPr>
          <w:lang w:val="id-ID"/>
        </w:rPr>
        <w:fldChar w:fldCharType="end"/>
      </w:r>
      <w:r w:rsidRPr="003D6B19">
        <w:rPr>
          <w:lang w:val="id-ID"/>
        </w:rPr>
        <w:t xml:space="preserve"> and so on. The terms in foreign languages are written italic (</w:t>
      </w:r>
      <w:r w:rsidRPr="003D6B19">
        <w:rPr>
          <w:i/>
          <w:iCs/>
          <w:lang w:val="id-ID"/>
        </w:rPr>
        <w:t>italic</w:t>
      </w:r>
      <w:r w:rsidRPr="003D6B19">
        <w:rPr>
          <w:lang w:val="id-ID"/>
        </w:rPr>
        <w:t xml:space="preserve">). </w:t>
      </w:r>
      <w:r w:rsidRPr="003D6B19">
        <w:t>The text should be divided into sections, each with a separate heading and numbered consecutively</w:t>
      </w:r>
      <w:r>
        <w:t xml:space="preserve"> </w:t>
      </w:r>
      <w:r>
        <w:fldChar w:fldCharType="begin" w:fldLock="1"/>
      </w:r>
      <w:r w:rsidR="00EF1162">
        <w:instrText>ADDIN CSL_CITATION {"citationItems":[{"id":"ITEM-1","itemData":{"DOI":"10.1007/978-3-030-37177-7_8","author":[{"dropping-particle":"","family":"Leonelli","given":"Sabina","non-dropping-particle":"","parse-names":false,"suffix":""},{"dropping-particle":"","family":"Tempini","given":"Niccolò","non-dropping-particle":"","parse-names":false,"suffix":""}],"id":"ITEM-1","issued":{"date-parts":[["0"]]},"publisher":"Springer","title":"Data Journeys in the Sciences","type":"book"},"uris":["http://www.mendeley.com/documents/?uuid=5a798df3-0874-4aad-bc62-cadd0b059524"]}],"mendeley":{"formattedCitation":"[3]","plainTextFormattedCitation":"[3]","previouslyFormattedCitation":"[3]"},"properties":{"noteIndex":0},"schema":"https://github.com/citation-style-language/schema/raw/master/csl-citation.json"}</w:instrText>
      </w:r>
      <w:r>
        <w:fldChar w:fldCharType="separate"/>
      </w:r>
      <w:r w:rsidRPr="00162062">
        <w:rPr>
          <w:noProof/>
        </w:rPr>
        <w:t>[3]</w:t>
      </w:r>
      <w:r>
        <w:fldChar w:fldCharType="end"/>
      </w:r>
      <w:r w:rsidRPr="003D6B19">
        <w:t xml:space="preserve">. The section or subsection headings should be typed on a separate line, e.g., 1. INTRODUCTION. </w:t>
      </w:r>
      <w:r w:rsidRPr="007F01C2">
        <w:t>A full article usually follows a standard structure</w:t>
      </w:r>
      <w:r w:rsidRPr="003D6B19">
        <w:rPr>
          <w:lang w:val="id-ID"/>
        </w:rPr>
        <w:t>:</w:t>
      </w:r>
      <w:r>
        <w:t xml:space="preserve"> </w:t>
      </w:r>
      <w:r w:rsidRPr="003D6B19">
        <w:rPr>
          <w:b/>
          <w:bCs/>
          <w:lang w:val="en-ID"/>
        </w:rPr>
        <w:t>1.</w:t>
      </w:r>
      <w:r w:rsidRPr="003D6B19">
        <w:rPr>
          <w:lang w:val="en-ID"/>
        </w:rPr>
        <w:t xml:space="preserve"> </w:t>
      </w:r>
      <w:r w:rsidRPr="003D6B19">
        <w:rPr>
          <w:b/>
          <w:lang w:val="id-ID"/>
        </w:rPr>
        <w:t>Introduction</w:t>
      </w:r>
      <w:r w:rsidRPr="003D6B19">
        <w:rPr>
          <w:b/>
          <w:lang w:val="en-ID"/>
        </w:rPr>
        <w:t>, 2. T</w:t>
      </w:r>
      <w:r w:rsidRPr="003D6B19">
        <w:rPr>
          <w:b/>
          <w:lang w:val="id-ID"/>
        </w:rPr>
        <w:t xml:space="preserve">he </w:t>
      </w:r>
      <w:r w:rsidR="00186FDC">
        <w:rPr>
          <w:b/>
          <w:lang w:val="id-ID"/>
        </w:rPr>
        <w:t>Objective of Research</w:t>
      </w:r>
      <w:r w:rsidR="00633054">
        <w:rPr>
          <w:b/>
          <w:lang w:val="id-ID"/>
        </w:rPr>
        <w:t>,</w:t>
      </w:r>
      <w:r w:rsidR="00186FDC">
        <w:rPr>
          <w:b/>
          <w:lang w:val="id-ID"/>
        </w:rPr>
        <w:t xml:space="preserve"> </w:t>
      </w:r>
      <w:r w:rsidR="007C40AA">
        <w:rPr>
          <w:b/>
          <w:lang w:val="id-ID"/>
        </w:rPr>
        <w:t>3. The Lit</w:t>
      </w:r>
      <w:r w:rsidR="008E1B84">
        <w:rPr>
          <w:b/>
          <w:lang w:val="id-ID"/>
        </w:rPr>
        <w:t xml:space="preserve">erature Review </w:t>
      </w:r>
      <w:r w:rsidRPr="003D6B19">
        <w:rPr>
          <w:b/>
          <w:lang w:val="id-ID"/>
        </w:rPr>
        <w:t xml:space="preserve">Comprehensive Theoretical Basis </w:t>
      </w:r>
      <w:r>
        <w:rPr>
          <w:b/>
        </w:rPr>
        <w:t>a</w:t>
      </w:r>
      <w:r w:rsidRPr="003D6B19">
        <w:rPr>
          <w:b/>
        </w:rPr>
        <w:t>nd/</w:t>
      </w:r>
      <w:r>
        <w:rPr>
          <w:b/>
        </w:rPr>
        <w:t>o</w:t>
      </w:r>
      <w:r w:rsidRPr="003D6B19">
        <w:rPr>
          <w:b/>
        </w:rPr>
        <w:t xml:space="preserve">r </w:t>
      </w:r>
      <w:r>
        <w:rPr>
          <w:b/>
        </w:rPr>
        <w:t>t</w:t>
      </w:r>
      <w:r w:rsidRPr="003D6B19">
        <w:rPr>
          <w:b/>
        </w:rPr>
        <w:t xml:space="preserve">he </w:t>
      </w:r>
      <w:r w:rsidRPr="003D6B19">
        <w:rPr>
          <w:b/>
          <w:lang w:val="id-ID"/>
        </w:rPr>
        <w:t>Proposed Method/Algorithm</w:t>
      </w:r>
      <w:r w:rsidRPr="003D6B19">
        <w:rPr>
          <w:b/>
          <w:lang w:val="en-ID"/>
        </w:rPr>
        <w:t xml:space="preserve"> (Optional), </w:t>
      </w:r>
      <w:r w:rsidR="00633054">
        <w:rPr>
          <w:b/>
          <w:lang w:val="en-ID"/>
        </w:rPr>
        <w:t>4</w:t>
      </w:r>
      <w:r w:rsidRPr="003D6B19">
        <w:rPr>
          <w:b/>
          <w:lang w:val="en-ID"/>
        </w:rPr>
        <w:t xml:space="preserve">. </w:t>
      </w:r>
      <w:r w:rsidR="00633054">
        <w:rPr>
          <w:b/>
          <w:lang w:val="en-ID"/>
        </w:rPr>
        <w:t>Research Methodology</w:t>
      </w:r>
      <w:r w:rsidRPr="003D6B19">
        <w:rPr>
          <w:b/>
          <w:lang w:val="en-ID"/>
        </w:rPr>
        <w:t>,</w:t>
      </w:r>
      <w:r w:rsidR="00633054">
        <w:rPr>
          <w:b/>
          <w:lang w:val="en-ID"/>
        </w:rPr>
        <w:t xml:space="preserve"> 5</w:t>
      </w:r>
      <w:r w:rsidRPr="003D6B19">
        <w:rPr>
          <w:b/>
          <w:lang w:val="en-ID"/>
        </w:rPr>
        <w:t xml:space="preserve">. </w:t>
      </w:r>
      <w:r w:rsidRPr="003D6B19">
        <w:rPr>
          <w:b/>
          <w:lang w:val="id-ID"/>
        </w:rPr>
        <w:t xml:space="preserve">Results </w:t>
      </w:r>
      <w:r>
        <w:rPr>
          <w:b/>
        </w:rPr>
        <w:t>a</w:t>
      </w:r>
      <w:r w:rsidRPr="003D6B19">
        <w:rPr>
          <w:b/>
          <w:lang w:val="id-ID"/>
        </w:rPr>
        <w:t>nd Discussion</w:t>
      </w:r>
      <w:r w:rsidRPr="003D6B19">
        <w:rPr>
          <w:b/>
          <w:lang w:val="en-ID"/>
        </w:rPr>
        <w:t xml:space="preserve">, </w:t>
      </w:r>
      <w:r>
        <w:rPr>
          <w:b/>
          <w:lang w:val="en-ID"/>
        </w:rPr>
        <w:t>a</w:t>
      </w:r>
      <w:r w:rsidRPr="003D6B19">
        <w:rPr>
          <w:b/>
          <w:lang w:val="en-ID"/>
        </w:rPr>
        <w:t xml:space="preserve">nd </w:t>
      </w:r>
      <w:r w:rsidR="00633054">
        <w:rPr>
          <w:b/>
          <w:lang w:val="en-ID"/>
        </w:rPr>
        <w:t>6</w:t>
      </w:r>
      <w:r w:rsidRPr="003D6B19">
        <w:rPr>
          <w:b/>
          <w:lang w:val="en-ID"/>
        </w:rPr>
        <w:t xml:space="preserve">. </w:t>
      </w:r>
      <w:r w:rsidRPr="003D6B19">
        <w:rPr>
          <w:b/>
          <w:lang w:val="id-ID"/>
        </w:rPr>
        <w:t>Conclusion</w:t>
      </w:r>
      <w:r>
        <w:rPr>
          <w:b/>
        </w:rPr>
        <w:t xml:space="preserve">. </w:t>
      </w:r>
    </w:p>
    <w:bookmarkEnd w:id="3"/>
    <w:p w14:paraId="01B08C88" w14:textId="6F1A9B2A" w:rsidR="00E619D6" w:rsidRPr="003D6B19" w:rsidRDefault="00E619D6" w:rsidP="007B72D1">
      <w:pPr>
        <w:ind w:firstLine="720"/>
        <w:jc w:val="both"/>
      </w:pPr>
    </w:p>
    <w:p w14:paraId="6D0BF8E6" w14:textId="77777777" w:rsidR="00E619D6" w:rsidRDefault="00E619D6" w:rsidP="00E619D6">
      <w:pPr>
        <w:jc w:val="both"/>
      </w:pPr>
    </w:p>
    <w:p w14:paraId="018F91E9" w14:textId="76343A3C" w:rsidR="00BA29B5" w:rsidRPr="003D6B19" w:rsidRDefault="00CA5AD7" w:rsidP="00BA29B5">
      <w:pPr>
        <w:numPr>
          <w:ilvl w:val="0"/>
          <w:numId w:val="15"/>
        </w:numPr>
        <w:tabs>
          <w:tab w:val="left" w:pos="426"/>
        </w:tabs>
        <w:ind w:left="426" w:hanging="426"/>
        <w:rPr>
          <w:b/>
          <w:bCs/>
          <w:lang w:val="id-ID"/>
        </w:rPr>
      </w:pPr>
      <w:r>
        <w:rPr>
          <w:b/>
          <w:bCs/>
          <w:lang w:val="id-ID"/>
        </w:rPr>
        <w:t>O</w:t>
      </w:r>
      <w:r w:rsidR="00BF1B8B">
        <w:rPr>
          <w:b/>
          <w:bCs/>
          <w:lang w:val="id-ID"/>
        </w:rPr>
        <w:t>BJECTIVE OF RESEARCH</w:t>
      </w:r>
      <w:r w:rsidR="00BA29B5" w:rsidRPr="003D6B19">
        <w:rPr>
          <w:b/>
          <w:bCs/>
        </w:rPr>
        <w:t xml:space="preserve"> (10 PT)</w:t>
      </w:r>
    </w:p>
    <w:p w14:paraId="177F4D9E" w14:textId="5B253F5A" w:rsidR="00CA5AD7" w:rsidRDefault="00BF59A5" w:rsidP="00CA5AD7">
      <w:pPr>
        <w:ind w:firstLine="720"/>
        <w:jc w:val="both"/>
      </w:pPr>
      <w:r w:rsidRPr="00BF59A5">
        <w:t>Research objectives are specific, measurable, and achievable goals that you aim to accomplish within a specified timeframe. They break down the research aims into smaller, more manageable components and provide a clear picture of what you want to achieve and how you plan to achieve it.</w:t>
      </w:r>
    </w:p>
    <w:p w14:paraId="0B6DDE1F" w14:textId="77777777" w:rsidR="00C70376" w:rsidRDefault="00C70376" w:rsidP="00CA5AD7">
      <w:pPr>
        <w:ind w:firstLine="720"/>
        <w:jc w:val="both"/>
      </w:pPr>
    </w:p>
    <w:p w14:paraId="3CA69F36" w14:textId="77777777" w:rsidR="00C70376" w:rsidRDefault="00C70376" w:rsidP="00CA5AD7">
      <w:pPr>
        <w:ind w:firstLine="720"/>
        <w:jc w:val="both"/>
        <w:rPr>
          <w:lang w:val="id-ID"/>
        </w:rPr>
      </w:pPr>
    </w:p>
    <w:p w14:paraId="1D926606" w14:textId="62CEF016" w:rsidR="00C70376" w:rsidRPr="003D6B19" w:rsidRDefault="008A0886" w:rsidP="00C70376">
      <w:pPr>
        <w:numPr>
          <w:ilvl w:val="0"/>
          <w:numId w:val="15"/>
        </w:numPr>
        <w:tabs>
          <w:tab w:val="left" w:pos="426"/>
        </w:tabs>
        <w:ind w:left="426" w:hanging="426"/>
        <w:rPr>
          <w:b/>
          <w:bCs/>
          <w:lang w:val="id-ID"/>
        </w:rPr>
      </w:pPr>
      <w:r>
        <w:rPr>
          <w:b/>
          <w:bCs/>
          <w:lang w:val="id-ID"/>
        </w:rPr>
        <w:t>LITERATURE REVIEW</w:t>
      </w:r>
      <w:r w:rsidR="00C70376" w:rsidRPr="003D6B19">
        <w:rPr>
          <w:b/>
          <w:bCs/>
        </w:rPr>
        <w:t xml:space="preserve"> (10 PT)</w:t>
      </w:r>
    </w:p>
    <w:p w14:paraId="307AFC3B" w14:textId="0C1DB51F" w:rsidR="00C70376" w:rsidRDefault="008A0886" w:rsidP="00CA5AD7">
      <w:pPr>
        <w:ind w:firstLine="720"/>
        <w:jc w:val="both"/>
        <w:rPr>
          <w:rStyle w:val="hgkelc"/>
          <w:lang w:val="en"/>
        </w:rPr>
      </w:pPr>
      <w:r>
        <w:rPr>
          <w:rStyle w:val="hgkelc"/>
          <w:lang w:val="en"/>
        </w:rPr>
        <w:t xml:space="preserve">A literature review is </w:t>
      </w:r>
      <w:r>
        <w:rPr>
          <w:rStyle w:val="hgkelc"/>
          <w:b/>
          <w:bCs/>
          <w:lang w:val="en"/>
        </w:rPr>
        <w:t>a survey of scholarly sources on a specific topic</w:t>
      </w:r>
      <w:r>
        <w:rPr>
          <w:rStyle w:val="hgkelc"/>
          <w:lang w:val="en"/>
        </w:rPr>
        <w:t xml:space="preserve">. It provides an overview of current knowledge, allowing you to identify relevant theories, methods </w:t>
      </w:r>
      <w:r>
        <w:fldChar w:fldCharType="begin" w:fldLock="1"/>
      </w:r>
      <w:r>
        <w:instrText>ADDIN CSL_CITATION {"citationItems":[{"id":"ITEM-1","itemData":{"DOI":"10.1109/ACCESS.2019.2895334","author":[{"dropping-particle":"","family":"Vinayakumar","given":"R.","non-dropping-particle":"","parse-names":false,"suffix":""},{"dropping-particle":"","family":"Alazab","given":"M.","non-dropping-particle":"","parse-names":false,"suffix":""},{"dropping-particle":"","family":"Soman","given":"K. P.","non-dropping-particle":"","parse-names":false,"suffix":""},{"dropping-particle":"","family":"Poornachandran","given":"P.","non-dropping-particle":"","parse-names":false,"suffix":""},{"dropping-particle":"","family":"Al-Nemrat","given":"A.","non-dropping-particle":"","parse-names":false,"suffix":""},{"dropping-particle":"","family":"Venkatraman","given":"S.","non-dropping-particle":"","parse-names":false,"suffix":""}],"container-title":"IEEE Access","id":"ITEM-1","issued":{"date-parts":[["2019"]]},"page":"41525-41550","title":"Deep Learning Approach for Intelligent Intrusion Detection System","type":"article-journal","volume":"7"},"uris":["http://www.mendeley.com/documents/?uuid=9f804f3d-42c6-4f76-88c8-8a1c9a320b57"]}],"mendeley":{"formattedCitation":"[5]","plainTextFormattedCitation":"[5]","previouslyFormattedCitation":"[5]"},"properties":{"noteIndex":0},"schema":"https://github.com/citation-style-language/schema/raw/master/csl-citation.json"}</w:instrText>
      </w:r>
      <w:r>
        <w:fldChar w:fldCharType="separate"/>
      </w:r>
      <w:r w:rsidRPr="00EF1162">
        <w:rPr>
          <w:noProof/>
        </w:rPr>
        <w:t>[5]</w:t>
      </w:r>
      <w:r>
        <w:fldChar w:fldCharType="end"/>
      </w:r>
      <w:r>
        <w:rPr>
          <w:rStyle w:val="hgkelc"/>
          <w:lang w:val="en"/>
        </w:rPr>
        <w:t xml:space="preserve">, and gaps in the existing research that you can later apply to your paper, thesis, or dissertation topic </w:t>
      </w:r>
      <w:r>
        <w:fldChar w:fldCharType="begin" w:fldLock="1"/>
      </w:r>
      <w:r>
        <w:instrText>ADDIN CSL_CITATION {"citationItems":[{"id":"ITEM-1","itemData":{"DOI":"10.1109/ACCESS.2019.2895334","author":[{"dropping-particle":"","family":"Vinayakumar","given":"R.","non-dropping-particle":"","parse-names":false,"suffix":""},{"dropping-particle":"","family":"Alazab","given":"M.","non-dropping-particle":"","parse-names":false,"suffix":""},{"dropping-particle":"","family":"Soman","given":"K. P.","non-dropping-particle":"","parse-names":false,"suffix":""},{"dropping-particle":"","family":"Poornachandran","given":"P.","non-dropping-particle":"","parse-names":false,"suffix":""},{"dropping-particle":"","family":"Al-Nemrat","given":"A.","non-dropping-particle":"","parse-names":false,"suffix":""},{"dropping-particle":"","family":"Venkatraman","given":"S.","non-dropping-particle":"","parse-names":false,"suffix":""}],"container-title":"IEEE Access","id":"ITEM-1","issued":{"date-parts":[["2019"]]},"page":"41525-41550","title":"Deep Learning Approach for Intelligent Intrusion Detection System","type":"article-journal","volume":"7"},"uris":["http://www.mendeley.com/documents/?uuid=9f804f3d-42c6-4f76-88c8-8a1c9a320b57"]},{"id":"ITEM-2","itemData":{"DOI":"10.35940/ijitee.I3187.0789S319","ISSN":"22783075","abstract":"We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Engineering","id":"ITEM-2","issue":"9 Special Issue 3","issued":{"date-parts":[["2019"]]},"page":"883-887","title":"Network failure detection and diagnosis by analyzing syslog and SNS data: Applying big data analysis to network operations","type":"article-journal","volume":"8"},"uris":["http://www.mendeley.com/documents/?uuid=62e3362f-3304-4b93-81b4-11b564bea6f4"]},{"id":"ITEM-3","itemData":{"DOI":"10.3390/s19020326","author":[{"dropping-particle":"","family":"Dwivedi","given":"A. D.","non-dropping-particle":"","parse-names":false,"suffix":""},{"dropping-particle":"","family":"Srivastava","given":"G.","non-dropping-particle":"","parse-names":false,"suffix":""},{"dropping-particle":"","family":"Dhar","given":"S.","non-dropping-particle":"","parse-names":false,"suffix":""},{"dropping-particle":"","family":"Singh","given":"R.","non-dropping-particle":"","parse-names":false,"suffix":""}],"container-title":"Sensors","id":"ITEM-3","issue":"2","issued":{"date-parts":[["2019"]]},"page":"1–17","title":"A decentralized privacy-preserving healthcare blockchain for IoT","type":"article-journal","volume":"19"},"uris":["http://www.mendeley.com/documents/?uuid=2ee8d0bd-b036-41ec-be9f-d0dc562c1d99"]}],"mendeley":{"formattedCitation":"[5]–[7]","plainTextFormattedCitation":"[5]–[7]","previouslyFormattedCitation":"[5]–[7]"},"properties":{"noteIndex":0},"schema":"https://github.com/citation-style-language/schema/raw/master/csl-citation.json"}</w:instrText>
      </w:r>
      <w:r>
        <w:fldChar w:fldCharType="separate"/>
      </w:r>
      <w:r w:rsidRPr="00EF1162">
        <w:rPr>
          <w:noProof/>
        </w:rPr>
        <w:t>[5]–[7]</w:t>
      </w:r>
      <w:r>
        <w:fldChar w:fldCharType="end"/>
      </w:r>
      <w:r>
        <w:rPr>
          <w:rStyle w:val="hgkelc"/>
          <w:lang w:val="en"/>
        </w:rPr>
        <w:t>.</w:t>
      </w:r>
    </w:p>
    <w:p w14:paraId="133A5A12" w14:textId="77777777" w:rsidR="008A0886" w:rsidRDefault="008A0886" w:rsidP="00CA5AD7">
      <w:pPr>
        <w:ind w:firstLine="720"/>
        <w:jc w:val="both"/>
        <w:rPr>
          <w:rStyle w:val="hgkelc"/>
          <w:lang w:val="en"/>
        </w:rPr>
      </w:pPr>
    </w:p>
    <w:p w14:paraId="0FD4D78C" w14:textId="77777777" w:rsidR="008A0886" w:rsidRPr="003D6B19" w:rsidRDefault="008A0886" w:rsidP="00CA5AD7">
      <w:pPr>
        <w:ind w:firstLine="720"/>
        <w:jc w:val="both"/>
      </w:pPr>
    </w:p>
    <w:p w14:paraId="7F5871EF"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RESEARCH METHOD</w:t>
      </w:r>
      <w:r w:rsidRPr="003D6B19">
        <w:rPr>
          <w:b/>
          <w:bCs/>
        </w:rPr>
        <w:t xml:space="preserve"> (10 PT)</w:t>
      </w:r>
    </w:p>
    <w:p w14:paraId="685BBC1C" w14:textId="172E58B3" w:rsidR="00AD3AE9" w:rsidRDefault="00354A58" w:rsidP="00AD3AE9">
      <w:pPr>
        <w:ind w:firstLine="720"/>
        <w:jc w:val="both"/>
        <w:rPr>
          <w:lang w:val="id-ID"/>
        </w:rPr>
      </w:pPr>
      <w:bookmarkStart w:id="4" w:name="_Hlk78354310"/>
      <w:r w:rsidRPr="003D6B19">
        <w:rPr>
          <w:lang w:val="id-ID"/>
        </w:rPr>
        <w:t xml:space="preserve">Explaining research chronological, including research design, research procedure (in the form of algorithms, Pseudocode or other), how to test and data </w:t>
      </w:r>
      <w:bookmarkStart w:id="5" w:name="_Hlk78354375"/>
      <w:r w:rsidR="007B72D1" w:rsidRPr="003D5B84">
        <w:rPr>
          <w:lang w:val="id-ID"/>
        </w:rPr>
        <w:t>acquisition</w:t>
      </w:r>
      <w:r w:rsidR="007B72D1">
        <w:t xml:space="preserve"> </w:t>
      </w:r>
      <w:r w:rsidR="007B72D1">
        <w:fldChar w:fldCharType="begin" w:fldLock="1"/>
      </w:r>
      <w:r w:rsidR="00EF1162">
        <w:instrText>ADDIN CSL_CITATION {"citationItems":[{"id":"ITEM-1","itemData":{"DOI":"10.1109/ACCESS.2019.2895334","author":[{"dropping-particle":"","family":"Vinayakumar","given":"R.","non-dropping-particle":"","parse-names":false,"suffix":""},{"dropping-particle":"","family":"Alazab","given":"M.","non-dropping-particle":"","parse-names":false,"suffix":""},{"dropping-particle":"","family":"Soman","given":"K. P.","non-dropping-particle":"","parse-names":false,"suffix":""},{"dropping-particle":"","family":"Poornachandran","given":"P.","non-dropping-particle":"","parse-names":false,"suffix":""},{"dropping-particle":"","family":"Al-Nemrat","given":"A.","non-dropping-particle":"","parse-names":false,"suffix":""},{"dropping-particle":"","family":"Venkatraman","given":"S.","non-dropping-particle":"","parse-names":false,"suffix":""}],"container-title":"IEEE Access","id":"ITEM-1","issued":{"date-parts":[["2019"]]},"page":"41525-41550","title":"Deep Learning Approach for Intelligent Intrusion Detection System","type":"article-journal","volume":"7"},"uris":["http://www.mendeley.com/documents/?uuid=9f804f3d-42c6-4f76-88c8-8a1c9a320b57"]},{"id":"ITEM-2","itemData":{"DOI":"10.35940/ijitee.I3187.0789S319","ISSN":"22783075","abstract":"We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Engineering","id":"ITEM-2","issue":"9 Special Issue 3","issued":{"date-parts":[["2019"]]},"page":"883-887","title":"Network failure detection and diagnosis by analyzing syslog and SNS data: Applying big data analysis to network operations","type":"article-journal","volume":"8"},"uris":["http://www.mendeley.com/documents/?uuid=62e3362f-3304-4b93-81b4-11b564bea6f4"]},{"id":"ITEM-3","itemData":{"DOI":"10.3390/s19020326","author":[{"dropping-particle":"","family":"Dwivedi","given":"A. D.","non-dropping-particle":"","parse-names":false,"suffix":""},{"dropping-particle":"","family":"Srivastava","given":"G.","non-dropping-particle":"","parse-names":false,"suffix":""},{"dropping-particle":"","family":"Dhar","given":"S.","non-dropping-particle":"","parse-names":false,"suffix":""},{"dropping-particle":"","family":"Singh","given":"R.","non-dropping-particle":"","parse-names":false,"suffix":""}],"container-title":"Sensors","id":"ITEM-3","issue":"2","issued":{"date-parts":[["2019"]]},"page":"1–17","title":"A decentralized privacy-preserving healthcare blockchain for IoT","type":"article-journal","volume":"19"},"uris":["http://www.mendeley.com/documents/?uuid=2ee8d0bd-b036-41ec-be9f-d0dc562c1d99"]}],"mendeley":{"formattedCitation":"[5]–[7]","plainTextFormattedCitation":"[5]–[7]","previouslyFormattedCitation":"[5]–[7]"},"properties":{"noteIndex":0},"schema":"https://github.com/citation-style-language/schema/raw/master/csl-citation.json"}</w:instrText>
      </w:r>
      <w:r w:rsidR="007B72D1">
        <w:fldChar w:fldCharType="separate"/>
      </w:r>
      <w:r w:rsidR="00EF1162" w:rsidRPr="00EF1162">
        <w:rPr>
          <w:noProof/>
        </w:rPr>
        <w:t>[5]–[7]</w:t>
      </w:r>
      <w:r w:rsidR="007B72D1">
        <w:fldChar w:fldCharType="end"/>
      </w:r>
      <w:r w:rsidR="007B72D1" w:rsidRPr="008E297A">
        <w:t xml:space="preserve">. The description of the course of research should be supported references, so the explanation can be accepted scientifically </w:t>
      </w:r>
      <w:r w:rsidR="007B72D1">
        <w:fldChar w:fldCharType="begin" w:fldLock="1"/>
      </w:r>
      <w:r w:rsidR="00EF1162">
        <w:instrText>ADDIN CSL_CITATION {"citationItems":[{"id":"ITEM-1","itemData":{"DOI":"10.1007/978-3-030-37177-7_8","author":[{"dropping-particle":"","family":"Leonelli","given":"Sabina","non-dropping-particle":"","parse-names":false,"suffix":""},{"dropping-particle":"","family":"Tempini","given":"Niccolò","non-dropping-particle":"","parse-names":false,"suffix":""}],"id":"ITEM-1","issued":{"date-parts":[["0"]]},"publisher":"Springer","title":"Data Journeys in the Sciences","type":"book"},"uris":["http://www.mendeley.com/documents/?uuid=5a798df3-0874-4aad-bc62-cadd0b059524"]}],"mendeley":{"formattedCitation":"[3]","plainTextFormattedCitation":"[3]","previouslyFormattedCitation":"[3]"},"properties":{"noteIndex":0},"schema":"https://github.com/citation-style-language/schema/raw/master/csl-citation.json"}</w:instrText>
      </w:r>
      <w:r w:rsidR="007B72D1">
        <w:fldChar w:fldCharType="separate"/>
      </w:r>
      <w:r w:rsidR="00EF1162" w:rsidRPr="00EF1162">
        <w:rPr>
          <w:noProof/>
        </w:rPr>
        <w:t>[3]</w:t>
      </w:r>
      <w:r w:rsidR="007B72D1">
        <w:fldChar w:fldCharType="end"/>
      </w:r>
      <w:r w:rsidR="007B72D1" w:rsidRPr="008E297A">
        <w:t xml:space="preserve">, </w:t>
      </w:r>
      <w:r w:rsidR="007B72D1">
        <w:fldChar w:fldCharType="begin" w:fldLock="1"/>
      </w:r>
      <w:r w:rsidR="00EF1162">
        <w:instrText>ADDIN CSL_CITATION {"citationItems":[{"id":"ITEM-1","itemData":{"DOI":"10.1007/s10462-018-09679-z","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García","given":"Álvaro López","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Review","id":"ITEM-1","issue":"1","issued":{"date-parts":[["2019"]]},"page":"77–124","title":"Machine Learning and Deep Learning frameworks and libraries for large-scale data mining: a survey","type":"article-journal","volume":"52"},"uris":["http://www.mendeley.com/documents/?uuid=e766dfd2-f506-49b4-9ea8-3cd3779e0580"]}],"mendeley":{"formattedCitation":"[4]","plainTextFormattedCitation":"[4]","previouslyFormattedCitation":"[4]"},"properties":{"noteIndex":0},"schema":"https://github.com/citation-style-language/schema/raw/master/csl-citation.json"}</w:instrText>
      </w:r>
      <w:r w:rsidR="007B72D1">
        <w:fldChar w:fldCharType="separate"/>
      </w:r>
      <w:r w:rsidR="00EF1162" w:rsidRPr="00EF1162">
        <w:rPr>
          <w:noProof/>
        </w:rPr>
        <w:t>[4]</w:t>
      </w:r>
      <w:r w:rsidR="007B72D1">
        <w:fldChar w:fldCharType="end"/>
      </w:r>
      <w:r w:rsidR="007B72D1" w:rsidRPr="008E297A">
        <w:t xml:space="preserve"> Figures 1-2 and Table 1 are presented center, as shown below and cited in the manuscript </w:t>
      </w:r>
      <w:r w:rsidR="007B72D1">
        <w:fldChar w:fldCharType="begin" w:fldLock="1"/>
      </w:r>
      <w:r w:rsidR="00EF1162">
        <w:instrText>ADDIN CSL_CITATION {"citationItems":[{"id":"ITEM-1","itemData":{"DOI":"10.1109/ACCESS.2019.2895334","author":[{"dropping-particle":"","family":"Vinayakumar","given":"R.","non-dropping-particle":"","parse-names":false,"suffix":""},{"dropping-particle":"","family":"Alazab","given":"M.","non-dropping-particle":"","parse-names":false,"suffix":""},{"dropping-particle":"","family":"Soman","given":"K. P.","non-dropping-particle":"","parse-names":false,"suffix":""},{"dropping-particle":"","family":"Poornachandran","given":"P.","non-dropping-particle":"","parse-names":false,"suffix":""},{"dropping-particle":"","family":"Al-Nemrat","given":"A.","non-dropping-particle":"","parse-names":false,"suffix":""},{"dropping-particle":"","family":"Venkatraman","given":"S.","non-dropping-particle":"","parse-names":false,"suffix":""}],"container-title":"IEEE Access","id":"ITEM-1","issued":{"date-parts":[["2019"]]},"page":"41525-41550","title":"Deep Learning Approach for Intelligent Intrusion Detection System","type":"article-journal","volume":"7"},"uris":["http://www.mendeley.com/documents/?uuid=9f804f3d-42c6-4f76-88c8-8a1c9a320b57"]}],"mendeley":{"formattedCitation":"[5]","plainTextFormattedCitation":"[5]","previouslyFormattedCitation":"[5]"},"properties":{"noteIndex":0},"schema":"https://github.com/citation-style-language/schema/raw/master/csl-citation.json"}</w:instrText>
      </w:r>
      <w:r w:rsidR="007B72D1">
        <w:fldChar w:fldCharType="separate"/>
      </w:r>
      <w:r w:rsidR="00EF1162" w:rsidRPr="00EF1162">
        <w:rPr>
          <w:noProof/>
        </w:rPr>
        <w:t>[5]</w:t>
      </w:r>
      <w:r w:rsidR="007B72D1">
        <w:fldChar w:fldCharType="end"/>
      </w:r>
      <w:r w:rsidR="007B72D1" w:rsidRPr="008E297A">
        <w:t xml:space="preserve">, </w:t>
      </w:r>
      <w:r w:rsidR="007B72D1">
        <w:fldChar w:fldCharType="begin" w:fldLock="1"/>
      </w:r>
      <w:r w:rsidR="00EF1162">
        <w:instrText>ADDIN CSL_CITATION {"citationItems":[{"id":"ITEM-1","itemData":{"DOI":"10.1109/ACCESS.2019.2931637","author":[{"dropping-particle":"","family":"Al-Turjman","given":"F.","non-dropping-particle":"","parse-names":false,"suffix":""},{"dropping-particle":"","family":"Zahmatkesh","given":"H.","non-dropping-particle":"","parse-names":false,"suffix":""},{"dropping-particle":"","family":"Mostarda","given":"L.","non-dropping-particle":"","parse-names":false,"suffix":""}],"container-title":"IEEE Access","id":"ITEM-1","issued":{"date-parts":[["2019"]]},"page":"115749–115759","title":"Quantifying uncertainty in internet of medical things and big-data services using intelligence and deep learning","type":"article-journal","volume":"7"},"uris":["http://www.mendeley.com/documents/?uuid=69739b6f-9903-4830-aa2b-197434630558"]},{"id":"ITEM-2","itemData":{"DOI":"10.26599/BDMA.2018.9020031","author":[{"dropping-particle":"","family":"Kumar","given":"S.","non-dropping-particle":"","parse-names":false,"suffix":""},{"dropping-particle":"","family":"Singh","given":"M.","non-dropping-particle":"","parse-names":false,"suffix":""}],"container-title":"Big Data Min. Anal.","id":"ITEM-2","issue":"1","issued":{"date-parts":[["2019"]]},"page":"48–57","title":"Big data analytics for healthcare industry: Impact, applications, and tools","type":"article-journal","volume":"2"},"uris":["http://www.mendeley.com/documents/?uuid=7608ec0a-244d-437c-8ef7-2d9bda1d3ea2"]},{"id":"ITEM-3","itemData":{"DOI":"10.1109/ACCESS.2018.2887076","author":[{"dropping-particle":"","family":"Ang","given":"L. M.","non-dropping-particle":"","parse-names":false,"suffix":""},{"dropping-particle":"","family":"Seng","given":"K. P.","non-dropping-particle":"","parse-names":false,"suffix":""},{"dropping-particle":"","family":"Ijemaru","given":"G. K.","non-dropping-particle":"","parse-names":false,"suffix":""},{"dropping-particle":"","family":"Zungeru","given":"A. M.","non-dropping-particle":"","parse-names":false,"suffix":""}],"container-title":"IEEE Access","id":"ITEM-3","issued":{"date-parts":[["2019"]]},"page":"6473–6492","title":"Deployment of IoV for Smart Cities: Applications, Architecture, and Challenges","type":"article-journal","volume":"7"},"uris":["http://www.mendeley.com/documents/?uuid=f8060817-ee00-47a0-87ef-0e1832621d46"]},{"id":"ITEM-4","itemData":{"DOI":"10.1016/j.inffus.2019.05.004","author":[{"dropping-particle":"","family":"Lik Lau","given":"Billy Pik","non-dropping-particle":"","parse-names":false,"suffix":""},{"dropping-particle":"","family":"Hasala Marakkalage","given":"Sumudu","non-dropping-particle":"","parse-names":false,"suffix":""},{"dropping-particle":"","family":"Zhou","given":"Yuren","non-dropping-particle":"","parse-names":false,"suffix":""},{"dropping-particle":"","family":"UlHassan","given":"Naveed","non-dropping-particle":"","parse-names":false,"suffix":""},{"dropping-particle":"","family":"Yuen","given":"Chau","non-dropping-particle":"","parse-names":false,"suffix":""},{"dropping-particle":"","family":"Zhang","given":"Meng","non-dropping-particle":"","parse-names":false,"suffix":""},{"dropping-particle":"","family":"Tan","given":"U-Xuan","non-dropping-particle":"","parse-names":false,"suffix":""}],"container-title":"Information Fusion","id":"ITEM-4","issued":{"date-parts":[["2019"]]},"page":"357-374","title":"A survey of data fusion in smart city applications","type":"article-journal","volume":"52"},"uris":["http://www.mendeley.com/documents/?uuid=2c320bba-c712-4378-9672-255b855ee2c0"]},{"id":"ITEM-5","itemData":{"DOI":"10.1109/CVPR.2019.00046","ISBN":"9781728132938","ISSN":"10636919","abstract":"Modern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Recognition","id":"ITEM-5","issued":{"date-parts":[["2019"]]},"page":"374-382","title":"Large scale incremental learning","type":"article-journal","volume":"2019-June"},"uris":["http://www.mendeley.com/documents/?uuid=9495b43f-4260-44a2-9c11-830fd6743609"]},{"id":"ITEM-6","itemData":{"DOI":"10.1080/19942060.2019.1613448","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wing","non-dropping-particle":"","parse-names":false,"suffix":""},{"dropping-particle":"","family":"Tah","given":"Joseph H. M.","non-dropping-particle":"","parse-names":false,"suffix":""}],"container-title":"Engineering Applications of Computational Fluid Mechanics","id":"ITEM-6","issue":"1","issued":{"date-parts":[["2019"]]},"page":"482-492","title":"Prediction of multi-inputs bubble column reactor using a novel hybrid model of computational fluid dynamics and machine learning","type":"article-journal","volume":"13"},"uris":["http://www.mendeley.com/documents/?uuid=a04fd4c2-ab8a-4ad7-ae28-830feaf9ad58"]}],"mendeley":{"formattedCitation":"[8]–[13]","plainTextFormattedCitation":"[8]–[13]","previouslyFormattedCitation":"[8]–[13]"},"properties":{"noteIndex":0},"schema":"https://github.com/citation-style-language/schema/raw/master/csl-citation.json"}</w:instrText>
      </w:r>
      <w:r w:rsidR="007B72D1">
        <w:fldChar w:fldCharType="separate"/>
      </w:r>
      <w:r w:rsidR="00EF1162" w:rsidRPr="00EF1162">
        <w:rPr>
          <w:noProof/>
        </w:rPr>
        <w:t>[8]–[13]</w:t>
      </w:r>
      <w:r w:rsidR="007B72D1">
        <w:fldChar w:fldCharType="end"/>
      </w:r>
      <w:r w:rsidR="007B72D1" w:rsidRPr="008E297A">
        <w:t xml:space="preserve">. </w:t>
      </w:r>
      <w:r w:rsidR="00AD3AE9" w:rsidRPr="00AB2E40">
        <w:rPr>
          <w:lang w:val="id-ID"/>
        </w:rPr>
        <w:t xml:space="preserve">Figure 2(a) </w:t>
      </w:r>
      <w:r w:rsidR="00AD3AE9" w:rsidRPr="00EB19B3">
        <w:rPr>
          <w:lang w:val="id-ID"/>
        </w:rPr>
        <w:t xml:space="preserve">shown </w:t>
      </w:r>
      <w:r w:rsidR="00FF79EB">
        <w:t>r</w:t>
      </w:r>
      <w:r w:rsidR="00FF79EB" w:rsidRPr="00FF79EB">
        <w:t xml:space="preserve">adiation pattern for graphene-based nano-antenna </w:t>
      </w:r>
      <w:r w:rsidR="00AD3AE9" w:rsidRPr="00EB19B3">
        <w:rPr>
          <w:lang w:val="id-ID"/>
        </w:rPr>
        <w:t xml:space="preserve">and Figure 2(b) </w:t>
      </w:r>
      <w:r w:rsidR="00AD3AE9" w:rsidRPr="00EB19B3">
        <w:t xml:space="preserve">shown </w:t>
      </w:r>
      <w:r w:rsidR="00FF79EB">
        <w:t xml:space="preserve">pattern for </w:t>
      </w:r>
      <w:r w:rsidR="00FF79EB" w:rsidRPr="00FF79EB">
        <w:t>conventional nano-antenna</w:t>
      </w:r>
      <w:r w:rsidR="00AD3AE9" w:rsidRPr="00AB2E40">
        <w:rPr>
          <w:lang w:val="id-ID"/>
        </w:rPr>
        <w:t>.</w:t>
      </w:r>
    </w:p>
    <w:bookmarkEnd w:id="5"/>
    <w:p w14:paraId="42F6C796" w14:textId="77777777" w:rsidR="00AD3AE9" w:rsidRDefault="00AD3AE9" w:rsidP="00AD3AE9">
      <w:pPr>
        <w:rPr>
          <w:b/>
          <w:bCs/>
        </w:rPr>
      </w:pPr>
    </w:p>
    <w:p w14:paraId="10538B8E" w14:textId="77777777" w:rsidR="00AD3AE9" w:rsidRDefault="00AD3AE9" w:rsidP="00AD3AE9">
      <w:pPr>
        <w:rPr>
          <w:b/>
          <w:bCs/>
        </w:rPr>
      </w:pPr>
    </w:p>
    <w:p w14:paraId="701D73B1" w14:textId="77777777" w:rsidR="00AD3AE9" w:rsidRPr="003D5B84" w:rsidRDefault="00AD3AE9" w:rsidP="00AD3AE9">
      <w:pPr>
        <w:jc w:val="center"/>
        <w:rPr>
          <w:noProof/>
          <w:lang w:val="id-ID"/>
        </w:rPr>
      </w:pPr>
      <w:r>
        <w:rPr>
          <w:noProof/>
        </w:rPr>
        <w:drawing>
          <wp:inline distT="0" distB="0" distL="0" distR="0" wp14:anchorId="32E74BF3" wp14:editId="7F9D6D06">
            <wp:extent cx="1074609" cy="752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797" cy="769412"/>
                    </a:xfrm>
                    <a:prstGeom prst="rect">
                      <a:avLst/>
                    </a:prstGeom>
                    <a:noFill/>
                  </pic:spPr>
                </pic:pic>
              </a:graphicData>
            </a:graphic>
          </wp:inline>
        </w:drawing>
      </w:r>
    </w:p>
    <w:p w14:paraId="34EC347A" w14:textId="77777777" w:rsidR="00AD3AE9" w:rsidRPr="001451A3" w:rsidRDefault="00AD3AE9" w:rsidP="00AD3AE9">
      <w:pPr>
        <w:jc w:val="center"/>
        <w:rPr>
          <w:lang w:val="id-ID"/>
        </w:rPr>
      </w:pPr>
    </w:p>
    <w:p w14:paraId="64A60ACE" w14:textId="77777777" w:rsidR="00AD3AE9" w:rsidRPr="001538EC" w:rsidRDefault="00AD3AE9" w:rsidP="00AD3AE9">
      <w:pPr>
        <w:jc w:val="center"/>
      </w:pPr>
      <w:r w:rsidRPr="00343313">
        <w:rPr>
          <w:b/>
          <w:bCs/>
          <w:lang w:val="id-ID"/>
        </w:rPr>
        <w:t>Figure 1.</w:t>
      </w:r>
      <w:r w:rsidRPr="003D5B84">
        <w:rPr>
          <w:lang w:val="id-ID"/>
        </w:rPr>
        <w:t xml:space="preserve"> </w:t>
      </w:r>
      <w:r w:rsidRPr="003908B3">
        <w:rPr>
          <w:rFonts w:hint="eastAsia"/>
        </w:rPr>
        <w:t xml:space="preserve">Logic-level circuit of </w:t>
      </w:r>
      <w:r w:rsidRPr="003908B3">
        <w:rPr>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rPr>
        <w:t>a</w:t>
      </w:r>
      <w:r w:rsidRPr="003908B3">
        <w:rPr>
          <w:rFonts w:hint="eastAsia"/>
          <w:vertAlign w:val="subscript"/>
        </w:rPr>
        <w:t>7</w:t>
      </w:r>
      <w:r w:rsidRPr="003908B3">
        <w:rPr>
          <w:rFonts w:hint="eastAsia"/>
        </w:rPr>
        <w:t>b</w:t>
      </w:r>
      <w:r w:rsidRPr="003908B3">
        <w:rPr>
          <w:rFonts w:hint="eastAsia"/>
          <w:vertAlign w:val="subscript"/>
        </w:rPr>
        <w:t>7</w:t>
      </w:r>
      <w:r w:rsidRPr="003908B3">
        <w:rPr>
          <w:rFonts w:hint="eastAsia"/>
        </w:rPr>
        <w:t>,</w:t>
      </w:r>
      <w:r w:rsidRPr="003908B3">
        <w:rPr>
          <w:rFonts w:hint="eastAsia"/>
          <w:vertAlign w:val="subscript"/>
        </w:rPr>
        <w:t xml:space="preserve"> </w:t>
      </w:r>
      <w:r w:rsidRPr="003908B3">
        <w:rPr>
          <w:rFonts w:hint="eastAsia"/>
        </w:rPr>
        <w:t>a</w:t>
      </w:r>
      <w:r w:rsidRPr="003908B3">
        <w:rPr>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r>
      <w:r w:rsidRPr="003908B3">
        <w:rPr>
          <w:rFonts w:hint="eastAsia"/>
          <w:vertAlign w:val="subscript"/>
        </w:rPr>
        <w:softHyphen/>
        <w:t>6</w:t>
      </w:r>
      <w:r w:rsidRPr="003908B3">
        <w:rPr>
          <w:rFonts w:hint="eastAsia"/>
        </w:rPr>
        <w:t>b</w:t>
      </w:r>
      <w:r w:rsidRPr="003908B3">
        <w:rPr>
          <w:rFonts w:hint="eastAsia"/>
          <w:vertAlign w:val="subscript"/>
        </w:rPr>
        <w:t>7</w:t>
      </w:r>
      <w:r w:rsidRPr="003908B3">
        <w:rPr>
          <w:rFonts w:hint="eastAsia"/>
        </w:rPr>
        <w:t xml:space="preserve"> and </w:t>
      </w:r>
      <w:proofErr w:type="spellStart"/>
      <w:r w:rsidRPr="003908B3">
        <w:rPr>
          <w:rFonts w:hint="eastAsia"/>
        </w:rPr>
        <w:t>a</w:t>
      </w:r>
      <w:r w:rsidRPr="003908B3">
        <w:rPr>
          <w:rFonts w:hint="eastAsia"/>
          <w:vertAlign w:val="subscript"/>
        </w:rPr>
        <w:t>i</w:t>
      </w:r>
      <w:r w:rsidRPr="003908B3">
        <w:rPr>
          <w:rFonts w:hint="eastAsia"/>
        </w:rPr>
        <w:t>b</w:t>
      </w:r>
      <w:r w:rsidRPr="003908B3">
        <w:rPr>
          <w:rFonts w:hint="eastAsia"/>
          <w:vertAlign w:val="subscript"/>
        </w:rPr>
        <w:t>j</w:t>
      </w:r>
      <w:proofErr w:type="spellEnd"/>
    </w:p>
    <w:p w14:paraId="50F95C8C" w14:textId="12845A8C" w:rsidR="00AD3AE9" w:rsidRDefault="003B1BEF" w:rsidP="003B1BEF">
      <w:pPr>
        <w:tabs>
          <w:tab w:val="left" w:pos="5085"/>
        </w:tabs>
        <w:rPr>
          <w:b/>
          <w:bCs/>
        </w:rPr>
      </w:pPr>
      <w:r>
        <w:rPr>
          <w:b/>
          <w:bCs/>
        </w:rPr>
        <w:tab/>
      </w:r>
    </w:p>
    <w:p w14:paraId="7A926833" w14:textId="77777777" w:rsidR="003B1BEF" w:rsidRDefault="003B1BEF" w:rsidP="003B1BEF">
      <w:pPr>
        <w:tabs>
          <w:tab w:val="left" w:pos="5085"/>
        </w:tabs>
        <w:rPr>
          <w:b/>
          <w:bCs/>
        </w:rPr>
      </w:pPr>
    </w:p>
    <w:p w14:paraId="0CBEC24E" w14:textId="7BF3FF00" w:rsidR="003B1BEF" w:rsidRPr="003B1BEF" w:rsidRDefault="003B1BEF" w:rsidP="003B1BEF">
      <w:pPr>
        <w:jc w:val="center"/>
      </w:pPr>
      <w:r w:rsidRPr="00343313">
        <w:rPr>
          <w:b/>
          <w:bCs/>
          <w:lang w:val="id-ID"/>
        </w:rPr>
        <w:t>Table 1.</w:t>
      </w:r>
      <w:r>
        <w:rPr>
          <w:lang w:val="id-ID"/>
        </w:rPr>
        <w:t xml:space="preserve"> The </w:t>
      </w:r>
      <w:r>
        <w:t>p</w:t>
      </w:r>
      <w:r>
        <w:rPr>
          <w:lang w:val="id-ID"/>
        </w:rPr>
        <w:t xml:space="preserve">erformance of </w:t>
      </w:r>
      <w:r>
        <w:t>power and speed</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3B1BEF" w14:paraId="2522EDCF" w14:textId="77777777" w:rsidTr="003B1BEF">
        <w:trPr>
          <w:jc w:val="center"/>
        </w:trPr>
        <w:tc>
          <w:tcPr>
            <w:tcW w:w="1124" w:type="dxa"/>
            <w:tcBorders>
              <w:top w:val="single" w:sz="4" w:space="0" w:color="auto"/>
              <w:left w:val="nil"/>
              <w:bottom w:val="single" w:sz="4" w:space="0" w:color="auto"/>
              <w:right w:val="nil"/>
            </w:tcBorders>
            <w:hideMark/>
          </w:tcPr>
          <w:p w14:paraId="0D30D6D9" w14:textId="77777777" w:rsidR="003B1BEF" w:rsidRDefault="003B1BEF">
            <w:pPr>
              <w:jc w:val="center"/>
              <w:rPr>
                <w:sz w:val="16"/>
                <w:szCs w:val="16"/>
                <w:lang w:val="id-ID"/>
              </w:rPr>
            </w:pPr>
            <w:r>
              <w:rPr>
                <w:sz w:val="16"/>
                <w:szCs w:val="16"/>
                <w:lang w:val="id-ID"/>
              </w:rPr>
              <w:t>Variable</w:t>
            </w:r>
          </w:p>
        </w:tc>
        <w:tc>
          <w:tcPr>
            <w:tcW w:w="1358" w:type="dxa"/>
            <w:tcBorders>
              <w:top w:val="single" w:sz="4" w:space="0" w:color="auto"/>
              <w:left w:val="nil"/>
              <w:bottom w:val="single" w:sz="4" w:space="0" w:color="auto"/>
              <w:right w:val="nil"/>
            </w:tcBorders>
            <w:hideMark/>
          </w:tcPr>
          <w:p w14:paraId="25AEF243" w14:textId="77777777" w:rsidR="003B1BEF" w:rsidRDefault="003B1BEF">
            <w:pPr>
              <w:jc w:val="center"/>
              <w:rPr>
                <w:sz w:val="16"/>
                <w:szCs w:val="16"/>
              </w:rPr>
            </w:pPr>
            <w:r>
              <w:rPr>
                <w:sz w:val="16"/>
                <w:szCs w:val="16"/>
                <w:lang w:val="id-ID"/>
              </w:rPr>
              <w:t>Speed</w:t>
            </w:r>
            <w:r>
              <w:rPr>
                <w:sz w:val="16"/>
                <w:szCs w:val="16"/>
              </w:rPr>
              <w:t xml:space="preserve"> (rpm)</w:t>
            </w:r>
          </w:p>
        </w:tc>
        <w:tc>
          <w:tcPr>
            <w:tcW w:w="1350" w:type="dxa"/>
            <w:tcBorders>
              <w:top w:val="single" w:sz="4" w:space="0" w:color="auto"/>
              <w:left w:val="nil"/>
              <w:bottom w:val="single" w:sz="4" w:space="0" w:color="auto"/>
              <w:right w:val="nil"/>
            </w:tcBorders>
            <w:hideMark/>
          </w:tcPr>
          <w:p w14:paraId="4390CD5B" w14:textId="77777777" w:rsidR="003B1BEF" w:rsidRDefault="003B1BEF">
            <w:pPr>
              <w:jc w:val="center"/>
              <w:rPr>
                <w:sz w:val="16"/>
                <w:szCs w:val="16"/>
              </w:rPr>
            </w:pPr>
            <w:r>
              <w:rPr>
                <w:sz w:val="16"/>
                <w:szCs w:val="16"/>
                <w:lang w:val="id-ID"/>
              </w:rPr>
              <w:t>Power</w:t>
            </w:r>
            <w:r>
              <w:rPr>
                <w:sz w:val="16"/>
                <w:szCs w:val="16"/>
              </w:rPr>
              <w:t xml:space="preserve"> (kW)</w:t>
            </w:r>
          </w:p>
        </w:tc>
      </w:tr>
      <w:tr w:rsidR="003B1BEF" w14:paraId="76B3BD9E" w14:textId="77777777" w:rsidTr="003B1BEF">
        <w:trPr>
          <w:jc w:val="center"/>
        </w:trPr>
        <w:tc>
          <w:tcPr>
            <w:tcW w:w="1124" w:type="dxa"/>
            <w:tcBorders>
              <w:top w:val="single" w:sz="4" w:space="0" w:color="auto"/>
              <w:left w:val="nil"/>
              <w:bottom w:val="nil"/>
              <w:right w:val="nil"/>
            </w:tcBorders>
            <w:hideMark/>
          </w:tcPr>
          <w:p w14:paraId="4809D832" w14:textId="77777777" w:rsidR="003B1BEF" w:rsidRDefault="003B1BEF">
            <w:pPr>
              <w:jc w:val="center"/>
              <w:rPr>
                <w:sz w:val="16"/>
                <w:szCs w:val="16"/>
              </w:rPr>
            </w:pPr>
            <w:r>
              <w:rPr>
                <w:sz w:val="16"/>
                <w:szCs w:val="16"/>
              </w:rPr>
              <w:t>x</w:t>
            </w:r>
          </w:p>
        </w:tc>
        <w:tc>
          <w:tcPr>
            <w:tcW w:w="1358" w:type="dxa"/>
            <w:tcBorders>
              <w:top w:val="single" w:sz="4" w:space="0" w:color="auto"/>
              <w:left w:val="nil"/>
              <w:bottom w:val="nil"/>
              <w:right w:val="nil"/>
            </w:tcBorders>
            <w:hideMark/>
          </w:tcPr>
          <w:p w14:paraId="3CB7C045" w14:textId="77777777" w:rsidR="003B1BEF" w:rsidRDefault="003B1BEF">
            <w:pPr>
              <w:jc w:val="center"/>
              <w:rPr>
                <w:sz w:val="16"/>
                <w:szCs w:val="16"/>
              </w:rPr>
            </w:pPr>
            <w:r>
              <w:rPr>
                <w:sz w:val="16"/>
                <w:szCs w:val="16"/>
              </w:rPr>
              <w:t>10</w:t>
            </w:r>
          </w:p>
        </w:tc>
        <w:tc>
          <w:tcPr>
            <w:tcW w:w="1350" w:type="dxa"/>
            <w:tcBorders>
              <w:top w:val="single" w:sz="4" w:space="0" w:color="auto"/>
              <w:left w:val="nil"/>
              <w:bottom w:val="nil"/>
              <w:right w:val="nil"/>
            </w:tcBorders>
            <w:hideMark/>
          </w:tcPr>
          <w:p w14:paraId="7057E331" w14:textId="77777777" w:rsidR="003B1BEF" w:rsidRDefault="003B1BEF">
            <w:pPr>
              <w:ind w:right="280"/>
              <w:jc w:val="right"/>
              <w:rPr>
                <w:sz w:val="16"/>
                <w:szCs w:val="16"/>
              </w:rPr>
            </w:pPr>
            <w:r>
              <w:rPr>
                <w:sz w:val="16"/>
                <w:szCs w:val="16"/>
              </w:rPr>
              <w:t>8.6</w:t>
            </w:r>
          </w:p>
        </w:tc>
      </w:tr>
      <w:tr w:rsidR="003B1BEF" w14:paraId="49D94200" w14:textId="77777777" w:rsidTr="003B1BEF">
        <w:trPr>
          <w:jc w:val="center"/>
        </w:trPr>
        <w:tc>
          <w:tcPr>
            <w:tcW w:w="1124" w:type="dxa"/>
            <w:tcBorders>
              <w:top w:val="nil"/>
              <w:left w:val="nil"/>
              <w:bottom w:val="nil"/>
              <w:right w:val="nil"/>
            </w:tcBorders>
            <w:hideMark/>
          </w:tcPr>
          <w:p w14:paraId="687E491D" w14:textId="77777777" w:rsidR="003B1BEF" w:rsidRDefault="003B1BEF">
            <w:pPr>
              <w:jc w:val="center"/>
              <w:rPr>
                <w:sz w:val="16"/>
                <w:szCs w:val="16"/>
              </w:rPr>
            </w:pPr>
            <w:r>
              <w:rPr>
                <w:sz w:val="16"/>
                <w:szCs w:val="16"/>
              </w:rPr>
              <w:t>y</w:t>
            </w:r>
          </w:p>
        </w:tc>
        <w:tc>
          <w:tcPr>
            <w:tcW w:w="1358" w:type="dxa"/>
            <w:tcBorders>
              <w:top w:val="nil"/>
              <w:left w:val="nil"/>
              <w:bottom w:val="nil"/>
              <w:right w:val="nil"/>
            </w:tcBorders>
            <w:hideMark/>
          </w:tcPr>
          <w:p w14:paraId="4FC7BAF8" w14:textId="77777777" w:rsidR="003B1BEF" w:rsidRDefault="003B1BEF">
            <w:pPr>
              <w:jc w:val="center"/>
              <w:rPr>
                <w:sz w:val="16"/>
                <w:szCs w:val="16"/>
              </w:rPr>
            </w:pPr>
            <w:r>
              <w:rPr>
                <w:sz w:val="16"/>
                <w:szCs w:val="16"/>
              </w:rPr>
              <w:t>15</w:t>
            </w:r>
          </w:p>
        </w:tc>
        <w:tc>
          <w:tcPr>
            <w:tcW w:w="1350" w:type="dxa"/>
            <w:tcBorders>
              <w:top w:val="nil"/>
              <w:left w:val="nil"/>
              <w:bottom w:val="nil"/>
              <w:right w:val="nil"/>
            </w:tcBorders>
            <w:hideMark/>
          </w:tcPr>
          <w:p w14:paraId="3C5CA957" w14:textId="77777777" w:rsidR="003B1BEF" w:rsidRDefault="003B1BEF">
            <w:pPr>
              <w:ind w:right="280"/>
              <w:jc w:val="right"/>
              <w:rPr>
                <w:sz w:val="16"/>
                <w:szCs w:val="16"/>
              </w:rPr>
            </w:pPr>
            <w:r>
              <w:rPr>
                <w:sz w:val="16"/>
                <w:szCs w:val="16"/>
              </w:rPr>
              <w:t>12.4</w:t>
            </w:r>
          </w:p>
        </w:tc>
      </w:tr>
      <w:tr w:rsidR="003B1BEF" w14:paraId="1415F830" w14:textId="77777777" w:rsidTr="003B1BEF">
        <w:trPr>
          <w:jc w:val="center"/>
        </w:trPr>
        <w:tc>
          <w:tcPr>
            <w:tcW w:w="1124" w:type="dxa"/>
            <w:tcBorders>
              <w:top w:val="nil"/>
              <w:left w:val="nil"/>
              <w:bottom w:val="single" w:sz="4" w:space="0" w:color="auto"/>
              <w:right w:val="nil"/>
            </w:tcBorders>
            <w:hideMark/>
          </w:tcPr>
          <w:p w14:paraId="2EC5DA36" w14:textId="77777777" w:rsidR="003B1BEF" w:rsidRDefault="003B1BEF">
            <w:pPr>
              <w:jc w:val="center"/>
              <w:rPr>
                <w:sz w:val="16"/>
                <w:szCs w:val="16"/>
              </w:rPr>
            </w:pPr>
            <w:r>
              <w:rPr>
                <w:sz w:val="16"/>
                <w:szCs w:val="16"/>
              </w:rPr>
              <w:t>z</w:t>
            </w:r>
          </w:p>
        </w:tc>
        <w:tc>
          <w:tcPr>
            <w:tcW w:w="1358" w:type="dxa"/>
            <w:tcBorders>
              <w:top w:val="nil"/>
              <w:left w:val="nil"/>
              <w:bottom w:val="single" w:sz="4" w:space="0" w:color="auto"/>
              <w:right w:val="nil"/>
            </w:tcBorders>
            <w:hideMark/>
          </w:tcPr>
          <w:p w14:paraId="775105C8" w14:textId="77777777" w:rsidR="003B1BEF" w:rsidRDefault="003B1BEF">
            <w:pPr>
              <w:jc w:val="center"/>
              <w:rPr>
                <w:sz w:val="16"/>
                <w:szCs w:val="16"/>
              </w:rPr>
            </w:pPr>
            <w:r>
              <w:rPr>
                <w:sz w:val="16"/>
                <w:szCs w:val="16"/>
              </w:rPr>
              <w:t>20</w:t>
            </w:r>
          </w:p>
        </w:tc>
        <w:tc>
          <w:tcPr>
            <w:tcW w:w="1350" w:type="dxa"/>
            <w:tcBorders>
              <w:top w:val="nil"/>
              <w:left w:val="nil"/>
              <w:bottom w:val="single" w:sz="4" w:space="0" w:color="auto"/>
              <w:right w:val="nil"/>
            </w:tcBorders>
            <w:hideMark/>
          </w:tcPr>
          <w:p w14:paraId="7A57C463" w14:textId="77777777" w:rsidR="003B1BEF" w:rsidRDefault="003B1BEF">
            <w:pPr>
              <w:ind w:right="280"/>
              <w:jc w:val="right"/>
              <w:rPr>
                <w:sz w:val="16"/>
                <w:szCs w:val="16"/>
              </w:rPr>
            </w:pPr>
            <w:r>
              <w:rPr>
                <w:sz w:val="16"/>
                <w:szCs w:val="16"/>
              </w:rPr>
              <w:t>15.3</w:t>
            </w:r>
          </w:p>
        </w:tc>
      </w:tr>
    </w:tbl>
    <w:p w14:paraId="0B45F2C4" w14:textId="79E33D6F" w:rsidR="003B1BEF" w:rsidRDefault="003B1BEF" w:rsidP="003B1BEF">
      <w:pPr>
        <w:tabs>
          <w:tab w:val="left" w:pos="426"/>
        </w:tabs>
        <w:jc w:val="center"/>
        <w:rPr>
          <w:b/>
          <w:bCs/>
          <w:lang w:val="id-ID"/>
        </w:rPr>
      </w:pPr>
    </w:p>
    <w:p w14:paraId="1DB8BE1E" w14:textId="77777777" w:rsidR="00FF79EB" w:rsidRDefault="00FF79EB" w:rsidP="003B1BEF">
      <w:pPr>
        <w:tabs>
          <w:tab w:val="left" w:pos="426"/>
        </w:tabs>
        <w:jc w:val="center"/>
        <w:rPr>
          <w:b/>
          <w:bCs/>
          <w:lang w:val="id-ID"/>
        </w:rPr>
      </w:pPr>
    </w:p>
    <w:bookmarkEnd w:id="4"/>
    <w:p w14:paraId="52F942E6"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RESULTS AND DISCUSSION</w:t>
      </w:r>
      <w:r w:rsidRPr="003D6B19">
        <w:rPr>
          <w:b/>
          <w:bCs/>
        </w:rPr>
        <w:t xml:space="preserve"> (10 PT)</w:t>
      </w:r>
    </w:p>
    <w:p w14:paraId="3F885236" w14:textId="356371FF" w:rsidR="00E619D6" w:rsidRPr="003D6B19" w:rsidRDefault="00E619D6" w:rsidP="00E619D6">
      <w:pPr>
        <w:ind w:firstLine="720"/>
        <w:jc w:val="both"/>
        <w:rPr>
          <w:lang w:val="id-ID"/>
        </w:rPr>
      </w:pPr>
      <w:r w:rsidRPr="003D6B19">
        <w:rPr>
          <w:lang w:val="id-ID"/>
        </w:rPr>
        <w:t xml:space="preserve">In </w:t>
      </w:r>
      <w:r w:rsidR="00354A58" w:rsidRPr="003D6B19">
        <w:rPr>
          <w:lang w:val="id-ID"/>
        </w:rPr>
        <w:t xml:space="preserve">this section, it is explained the results of research and at the same time is given </w:t>
      </w:r>
      <w:r w:rsidR="00354A58" w:rsidRPr="003D6B19">
        <w:rPr>
          <w:lang w:val="id-ID"/>
        </w:rPr>
        <w:br/>
        <w:t xml:space="preserve">the comprehensive discussion. Results can be presented in figures, graphs, tables and others that make </w:t>
      </w:r>
      <w:r w:rsidR="00354A58" w:rsidRPr="003D6B19">
        <w:rPr>
          <w:lang w:val="id-ID"/>
        </w:rPr>
        <w:br/>
        <w:t xml:space="preserve">the reader understand </w:t>
      </w:r>
      <w:r w:rsidR="007B72D1" w:rsidRPr="008E297A">
        <w:t xml:space="preserve">easily </w:t>
      </w:r>
      <w:r w:rsidR="007B72D1">
        <w:fldChar w:fldCharType="begin" w:fldLock="1"/>
      </w:r>
      <w:r w:rsidR="00EF1162">
        <w:instrText>ADDIN CSL_CITATION {"citationItems":[{"id":"ITEM-1","itemData":{"DOI":"10.1016/j.jksuci.2017.12.007","author":[{"dropping-particle":"","family":"Palanisamy","given":"Venketesh","non-dropping-particle":"","parse-names":false,"suffix":""},{"dropping-particle":"","family":"Thirunavukarasu","given":"Ramkumar","non-dropping-particle":"","parse-names":false,"suffix":""}],"container-title":"Journal of King Saud University - Computer and Information Sciences","id":"ITEM-1","issue":"4","issued":{"date-parts":[["2019"]]},"page":"415-425","title":"Implications of big data analytics in developing healthcare frameworks – A review","type":"article-journal","volume":"31"},"uris":["http://www.mendeley.com/documents/?uuid=8df3d30c-00ba-47c7-87bf-c78207b5a1e1"]}],"mendeley":{"formattedCitation":"[14]","plainTextFormattedCitation":"[14]","previouslyFormattedCitation":"[14]"},"properties":{"noteIndex":0},"schema":"https://github.com/citation-style-language/schema/raw/master/csl-citation.json"}</w:instrText>
      </w:r>
      <w:r w:rsidR="007B72D1">
        <w:fldChar w:fldCharType="separate"/>
      </w:r>
      <w:r w:rsidR="00EF1162" w:rsidRPr="00EF1162">
        <w:rPr>
          <w:noProof/>
        </w:rPr>
        <w:t>[14]</w:t>
      </w:r>
      <w:r w:rsidR="007B72D1">
        <w:fldChar w:fldCharType="end"/>
      </w:r>
      <w:r w:rsidR="007B72D1" w:rsidRPr="008E297A">
        <w:t xml:space="preserve">, </w:t>
      </w:r>
      <w:r w:rsidR="007B72D1">
        <w:fldChar w:fldCharType="begin" w:fldLock="1"/>
      </w:r>
      <w:r w:rsidR="00EF1162">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bbf36326-76eb-4a9b-935c-10be8e8556c1"]}],"mendeley":{"formattedCitation":"[15]","plainTextFormattedCitation":"[15]","previouslyFormattedCitation":"[15]"},"properties":{"noteIndex":0},"schema":"https://github.com/citation-style-language/schema/raw/master/csl-citation.json"}</w:instrText>
      </w:r>
      <w:r w:rsidR="007B72D1">
        <w:fldChar w:fldCharType="separate"/>
      </w:r>
      <w:r w:rsidR="00EF1162" w:rsidRPr="00EF1162">
        <w:rPr>
          <w:noProof/>
        </w:rPr>
        <w:t>[15]</w:t>
      </w:r>
      <w:r w:rsidR="007B72D1">
        <w:fldChar w:fldCharType="end"/>
      </w:r>
      <w:r w:rsidR="007B72D1" w:rsidRPr="000C4FBD">
        <w:rPr>
          <w:lang w:val="id-ID"/>
        </w:rPr>
        <w:t xml:space="preserve">. </w:t>
      </w:r>
      <w:r w:rsidR="00354A58" w:rsidRPr="003D6B19">
        <w:rPr>
          <w:lang w:val="id-ID"/>
        </w:rPr>
        <w:t xml:space="preserve">The discussion can be made in several </w:t>
      </w:r>
      <w:bookmarkStart w:id="6" w:name="_Hlk78354443"/>
      <w:r w:rsidR="00354A58" w:rsidRPr="003D6B19">
        <w:rPr>
          <w:lang w:val="id-ID"/>
        </w:rPr>
        <w:t>sub-</w:t>
      </w:r>
      <w:r w:rsidR="00354A58" w:rsidRPr="003D6B19">
        <w:t>sections</w:t>
      </w:r>
      <w:r w:rsidR="00354A58" w:rsidRPr="003D6B19">
        <w:rPr>
          <w:lang w:val="id-ID"/>
        </w:rPr>
        <w:t>.</w:t>
      </w:r>
      <w:bookmarkEnd w:id="6"/>
    </w:p>
    <w:p w14:paraId="6BC6C798" w14:textId="77777777" w:rsidR="00E619D6" w:rsidRPr="003D6B19" w:rsidRDefault="00E619D6" w:rsidP="00E619D6">
      <w:pPr>
        <w:ind w:firstLine="720"/>
        <w:jc w:val="both"/>
        <w:rPr>
          <w:lang w:val="id-ID"/>
        </w:rPr>
      </w:pPr>
    </w:p>
    <w:p w14:paraId="43E3F43A" w14:textId="7CF2D5BF" w:rsidR="00E619D6" w:rsidRPr="003D6B19" w:rsidRDefault="002B15E8" w:rsidP="00E619D6">
      <w:pPr>
        <w:rPr>
          <w:b/>
          <w:bCs/>
          <w:lang w:val="id-ID"/>
        </w:rPr>
      </w:pPr>
      <w:r>
        <w:rPr>
          <w:b/>
          <w:bCs/>
          <w:lang w:val="id-ID"/>
        </w:rPr>
        <w:t>5</w:t>
      </w:r>
      <w:r w:rsidR="00E619D6" w:rsidRPr="003D6B19">
        <w:rPr>
          <w:b/>
          <w:bCs/>
          <w:lang w:val="id-ID"/>
        </w:rPr>
        <w:t xml:space="preserve">.1. </w:t>
      </w:r>
      <w:r w:rsidR="00E619D6" w:rsidRPr="003D6B19">
        <w:rPr>
          <w:b/>
          <w:bCs/>
        </w:rPr>
        <w:t xml:space="preserve"> </w:t>
      </w:r>
      <w:r w:rsidR="00E619D6" w:rsidRPr="003D6B19">
        <w:rPr>
          <w:b/>
          <w:bCs/>
          <w:lang w:val="id-ID"/>
        </w:rPr>
        <w:t xml:space="preserve">Sub </w:t>
      </w:r>
      <w:r w:rsidR="00E619D6" w:rsidRPr="003D6B19">
        <w:rPr>
          <w:b/>
          <w:bCs/>
        </w:rPr>
        <w:t>section</w:t>
      </w:r>
      <w:r w:rsidR="00E619D6" w:rsidRPr="003D6B19">
        <w:rPr>
          <w:b/>
          <w:bCs/>
          <w:lang w:val="id-ID"/>
        </w:rPr>
        <w:t xml:space="preserve"> 1</w:t>
      </w:r>
    </w:p>
    <w:p w14:paraId="1B1D1F07" w14:textId="70CEFE79" w:rsidR="00E619D6" w:rsidRDefault="00E619D6" w:rsidP="00E619D6">
      <w:pPr>
        <w:ind w:firstLine="709"/>
        <w:jc w:val="both"/>
        <w:rPr>
          <w:bCs/>
          <w:lang w:val="id-ID"/>
        </w:rPr>
      </w:pPr>
      <w:bookmarkStart w:id="7"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8" w:name="_Hlk79141485"/>
    </w:p>
    <w:p w14:paraId="50054D56" w14:textId="77777777" w:rsidR="00A6194E" w:rsidRPr="003D6B19" w:rsidRDefault="00A6194E" w:rsidP="00E619D6">
      <w:pPr>
        <w:ind w:firstLine="709"/>
        <w:jc w:val="both"/>
        <w:rPr>
          <w:bCs/>
          <w:lang w:val="id-ID"/>
        </w:rPr>
      </w:pPr>
    </w:p>
    <w:p w14:paraId="6A8C919A" w14:textId="0F6A48CC" w:rsidR="004F4003" w:rsidRPr="004F4003" w:rsidRDefault="00000000" w:rsidP="004F4003">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E619D6" w:rsidRPr="003D6B19">
        <w:rPr>
          <w:bCs/>
        </w:rPr>
        <w:t>)</w:t>
      </w:r>
      <w:r w:rsidR="00E619D6" w:rsidRPr="003D6B19">
        <w:rPr>
          <w:bCs/>
        </w:rPr>
        <w:tab/>
      </w:r>
      <w:r w:rsidR="00E619D6" w:rsidRPr="00735BBC">
        <w:rPr>
          <w:bCs/>
        </w:rPr>
        <w:t>(1)</w:t>
      </w:r>
    </w:p>
    <w:p w14:paraId="053DC32B" w14:textId="77777777" w:rsidR="00E619D6" w:rsidRPr="003D6B19" w:rsidRDefault="00E619D6" w:rsidP="00E619D6">
      <w:pPr>
        <w:rPr>
          <w:bCs/>
          <w:lang w:val="id-ID"/>
        </w:rPr>
      </w:pPr>
    </w:p>
    <w:p w14:paraId="2D74FFB2" w14:textId="609F99FC" w:rsidR="00E619D6" w:rsidRPr="003D6B19" w:rsidRDefault="00E619D6" w:rsidP="00E619D6">
      <w:pPr>
        <w:rPr>
          <w:bCs/>
          <w:lang w:val="id-ID"/>
        </w:rPr>
      </w:pPr>
      <w:r w:rsidRPr="00735BBC">
        <w:rPr>
          <w:bCs/>
          <w:lang w:val="id-ID"/>
        </w:rPr>
        <w:t>All symbols that</w:t>
      </w:r>
      <w:r w:rsidRPr="003D6B19">
        <w:rPr>
          <w:bCs/>
          <w:lang w:val="id-ID"/>
        </w:rPr>
        <w:t xml:space="preserve"> have</w:t>
      </w:r>
      <w:r w:rsidR="000F703D">
        <w:rPr>
          <w:bCs/>
        </w:rPr>
        <w:t xml:space="preserve"> been</w:t>
      </w:r>
      <w:r w:rsidRPr="003D6B19">
        <w:rPr>
          <w:bCs/>
          <w:lang w:val="id-ID"/>
        </w:rPr>
        <w:t xml:space="preserve"> </w:t>
      </w:r>
      <w:r w:rsidR="000F703D">
        <w:rPr>
          <w:bCs/>
        </w:rPr>
        <w:t>used in the</w:t>
      </w:r>
      <w:r w:rsidRPr="003D6B19">
        <w:rPr>
          <w:bCs/>
          <w:lang w:val="id-ID"/>
        </w:rPr>
        <w:t xml:space="preserve"> equation</w:t>
      </w:r>
      <w:r w:rsidR="000F703D">
        <w:rPr>
          <w:bCs/>
        </w:rPr>
        <w:t>s</w:t>
      </w:r>
      <w:r w:rsidRPr="003D6B19">
        <w:rPr>
          <w:bCs/>
          <w:lang w:val="id-ID"/>
        </w:rPr>
        <w:t xml:space="preserve"> should be </w:t>
      </w:r>
      <w:r w:rsidR="000F703D">
        <w:rPr>
          <w:bCs/>
        </w:rPr>
        <w:t xml:space="preserve">defined </w:t>
      </w:r>
      <w:r w:rsidRPr="003D6B19">
        <w:rPr>
          <w:bCs/>
          <w:lang w:val="id-ID"/>
        </w:rPr>
        <w:t>in the following text.</w:t>
      </w:r>
    </w:p>
    <w:bookmarkEnd w:id="7"/>
    <w:bookmarkEnd w:id="8"/>
    <w:p w14:paraId="7C82168B" w14:textId="77777777" w:rsidR="00E619D6" w:rsidRPr="003D6B19" w:rsidRDefault="00E619D6" w:rsidP="00E619D6">
      <w:pPr>
        <w:rPr>
          <w:b/>
          <w:bCs/>
          <w:lang w:val="id-ID"/>
        </w:rPr>
      </w:pPr>
    </w:p>
    <w:p w14:paraId="25A7CC42" w14:textId="74FFC46E" w:rsidR="00E619D6" w:rsidRPr="003D6B19" w:rsidRDefault="002B15E8" w:rsidP="00E619D6">
      <w:pPr>
        <w:rPr>
          <w:b/>
          <w:bCs/>
          <w:lang w:val="id-ID"/>
        </w:rPr>
      </w:pPr>
      <w:r>
        <w:rPr>
          <w:b/>
          <w:bCs/>
          <w:lang w:val="id-ID"/>
        </w:rPr>
        <w:t>5</w:t>
      </w:r>
      <w:r w:rsidR="00E619D6" w:rsidRPr="003D6B19">
        <w:rPr>
          <w:b/>
          <w:bCs/>
          <w:lang w:val="id-ID"/>
        </w:rPr>
        <w:t xml:space="preserve">.2. </w:t>
      </w:r>
      <w:r w:rsidR="00E619D6" w:rsidRPr="003D6B19">
        <w:rPr>
          <w:b/>
          <w:bCs/>
        </w:rPr>
        <w:t xml:space="preserve"> </w:t>
      </w:r>
      <w:r w:rsidR="00E619D6" w:rsidRPr="003D6B19">
        <w:rPr>
          <w:b/>
          <w:bCs/>
          <w:lang w:val="id-ID"/>
        </w:rPr>
        <w:t xml:space="preserve">Sub </w:t>
      </w:r>
      <w:r w:rsidR="00E619D6" w:rsidRPr="003D6B19">
        <w:rPr>
          <w:b/>
          <w:bCs/>
        </w:rPr>
        <w:t>section</w:t>
      </w:r>
      <w:r w:rsidR="00E619D6" w:rsidRPr="003D6B19">
        <w:rPr>
          <w:b/>
          <w:bCs/>
          <w:lang w:val="id-ID"/>
        </w:rPr>
        <w:t xml:space="preserve"> 2</w:t>
      </w:r>
    </w:p>
    <w:p w14:paraId="21EA04E3" w14:textId="59F1F35C" w:rsidR="007B72D1" w:rsidRPr="000C4FBD" w:rsidRDefault="00E619D6" w:rsidP="007B72D1">
      <w:pPr>
        <w:ind w:firstLine="720"/>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w:t>
      </w:r>
      <w:r w:rsidR="007B72D1" w:rsidRPr="000C4FBD">
        <w:rPr>
          <w:bCs/>
          <w:lang w:val="id-ID"/>
        </w:rPr>
        <w:t xml:space="preserve">in </w:t>
      </w:r>
      <w:r w:rsidR="007B72D1">
        <w:rPr>
          <w:bCs/>
          <w:lang w:val="id-ID"/>
        </w:rPr>
        <w:fldChar w:fldCharType="begin" w:fldLock="1"/>
      </w:r>
      <w:r w:rsidR="00EF1162">
        <w:rPr>
          <w:bCs/>
          <w:lang w:val="id-ID"/>
        </w:rPr>
        <w:instrText>ADDIN CSL_CITATION {"citationItems":[{"id":"ITEM-1","itemData":{"DOI":"10.1109/ACCESS.2019.2905301","ISSN":"21693536","abstract":"Although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Access","id":"ITEM-1","issued":{"date-parts":[["2019"]]},"page":"37100-37108","title":"Comparing a traditional approach for financial brand communication analysis with a big data analytics technique","type":"article-journal","volume":"7"},"uris":["http://www.mendeley.com/documents/?uuid=e0ad1f75-c907-4110-b11a-897c211c7b97"]}],"mendeley":{"formattedCitation":"[16]","plainTextFormattedCitation":"[16]","previouslyFormattedCitation":"[16]"},"properties":{"noteIndex":0},"schema":"https://github.com/citation-style-language/schema/raw/master/csl-citation.json"}</w:instrText>
      </w:r>
      <w:r w:rsidR="007B72D1">
        <w:rPr>
          <w:bCs/>
          <w:lang w:val="id-ID"/>
        </w:rPr>
        <w:fldChar w:fldCharType="separate"/>
      </w:r>
      <w:r w:rsidR="00EF1162" w:rsidRPr="00EF1162">
        <w:rPr>
          <w:bCs/>
          <w:noProof/>
          <w:lang w:val="id-ID"/>
        </w:rPr>
        <w:t>[16]</w:t>
      </w:r>
      <w:r w:rsidR="007B72D1">
        <w:rPr>
          <w:bCs/>
          <w:lang w:val="id-ID"/>
        </w:rPr>
        <w:fldChar w:fldCharType="end"/>
      </w:r>
      <w:r w:rsidR="007B72D1" w:rsidRPr="008E297A">
        <w:rPr>
          <w:bCs/>
          <w:lang w:val="id-ID"/>
        </w:rPr>
        <w:t xml:space="preserve"> or </w:t>
      </w:r>
      <w:r w:rsidR="007B72D1">
        <w:rPr>
          <w:bCs/>
          <w:lang w:val="id-ID"/>
        </w:rPr>
        <w:fldChar w:fldCharType="begin" w:fldLock="1"/>
      </w:r>
      <w:r w:rsidR="00EF1162">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1364e75b-f6c0-4da5-8380-6add5690cebd"]}],"mendeley":{"formattedCitation":"[17]","plainTextFormattedCitation":"[17]","previouslyFormattedCitation":"[17]"},"properties":{"noteIndex":0},"schema":"https://github.com/citation-style-language/schema/raw/master/csl-citation.json"}</w:instrText>
      </w:r>
      <w:r w:rsidR="007B72D1">
        <w:rPr>
          <w:bCs/>
          <w:lang w:val="id-ID"/>
        </w:rPr>
        <w:fldChar w:fldCharType="separate"/>
      </w:r>
      <w:r w:rsidR="00EF1162" w:rsidRPr="00EF1162">
        <w:rPr>
          <w:bCs/>
          <w:noProof/>
          <w:lang w:val="id-ID"/>
        </w:rPr>
        <w:t>[17]</w:t>
      </w:r>
      <w:r w:rsidR="007B72D1">
        <w:rPr>
          <w:bCs/>
          <w:lang w:val="id-ID"/>
        </w:rPr>
        <w:fldChar w:fldCharType="end"/>
      </w:r>
      <w:r w:rsidR="007B72D1" w:rsidRPr="008E297A">
        <w:rPr>
          <w:bCs/>
          <w:lang w:val="id-ID"/>
        </w:rPr>
        <w:t xml:space="preserve"> for multiple references. The use of ”Ref </w:t>
      </w:r>
      <w:r w:rsidR="007B72D1">
        <w:rPr>
          <w:bCs/>
          <w:lang w:val="id-ID"/>
        </w:rPr>
        <w:fldChar w:fldCharType="begin" w:fldLock="1"/>
      </w:r>
      <w:r w:rsidR="00EF1162">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3cb48113-b49c-4ee9-b570-71003d9059fb"]}],"mendeley":{"formattedCitation":"[18]","plainTextFormattedCitation":"[18]","previouslyFormattedCitation":"[18]"},"properties":{"noteIndex":0},"schema":"https://github.com/citation-style-language/schema/raw/master/csl-citation.json"}</w:instrText>
      </w:r>
      <w:r w:rsidR="007B72D1">
        <w:rPr>
          <w:bCs/>
          <w:lang w:val="id-ID"/>
        </w:rPr>
        <w:fldChar w:fldCharType="separate"/>
      </w:r>
      <w:r w:rsidR="00EF1162" w:rsidRPr="00EF1162">
        <w:rPr>
          <w:bCs/>
          <w:noProof/>
          <w:lang w:val="id-ID"/>
        </w:rPr>
        <w:t>[18]</w:t>
      </w:r>
      <w:r w:rsidR="007B72D1">
        <w:rPr>
          <w:bCs/>
          <w:lang w:val="id-ID"/>
        </w:rPr>
        <w:fldChar w:fldCharType="end"/>
      </w:r>
      <w:r w:rsidR="007B72D1" w:rsidRPr="008E297A">
        <w:rPr>
          <w:bCs/>
          <w:lang w:val="id-ID"/>
        </w:rPr>
        <w:t xml:space="preserve">...” should be employed for any reference citation at the beginning of sentence. For any reference with more than 3 or more authors, only the first author is to be written followed by </w:t>
      </w:r>
      <w:r w:rsidR="007B72D1" w:rsidRPr="00AD3AE9">
        <w:rPr>
          <w:bCs/>
          <w:i/>
          <w:iCs/>
          <w:lang w:val="id-ID"/>
        </w:rPr>
        <w:t>et al.</w:t>
      </w:r>
      <w:r w:rsidR="007B72D1" w:rsidRPr="008E297A">
        <w:rPr>
          <w:bCs/>
          <w:lang w:val="id-ID"/>
        </w:rPr>
        <w:t xml:space="preserve"> (e.g. in </w:t>
      </w:r>
      <w:r w:rsidR="007B72D1">
        <w:rPr>
          <w:bCs/>
          <w:lang w:val="id-ID"/>
        </w:rPr>
        <w:fldChar w:fldCharType="begin" w:fldLock="1"/>
      </w:r>
      <w:r w:rsidR="00EF1162">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406d6d3b-8931-4cb2-8cb1-786d168338bc"]}],"mendeley":{"formattedCitation":"[19]","plainTextFormattedCitation":"[19]","previouslyFormattedCitation":"[19]"},"properties":{"noteIndex":0},"schema":"https://github.com/citation-style-language/schema/raw/master/csl-citation.json"}</w:instrText>
      </w:r>
      <w:r w:rsidR="007B72D1">
        <w:rPr>
          <w:bCs/>
          <w:lang w:val="id-ID"/>
        </w:rPr>
        <w:fldChar w:fldCharType="separate"/>
      </w:r>
      <w:r w:rsidR="00EF1162" w:rsidRPr="00EF1162">
        <w:rPr>
          <w:bCs/>
          <w:noProof/>
          <w:lang w:val="id-ID"/>
        </w:rPr>
        <w:t>[19]</w:t>
      </w:r>
      <w:r w:rsidR="007B72D1">
        <w:rPr>
          <w:bCs/>
          <w:lang w:val="id-ID"/>
        </w:rPr>
        <w:fldChar w:fldCharType="end"/>
      </w:r>
      <w:r w:rsidR="007B72D1" w:rsidRPr="008E297A">
        <w:rPr>
          <w:bCs/>
          <w:lang w:val="id-ID"/>
        </w:rPr>
        <w:t xml:space="preserve">). Examples of reference items of different categories shown in the References section. Each item in the references section should be typed using </w:t>
      </w:r>
      <w:r w:rsidR="006C5368">
        <w:rPr>
          <w:bCs/>
        </w:rPr>
        <w:t>8</w:t>
      </w:r>
      <w:r w:rsidR="007B72D1" w:rsidRPr="008E297A">
        <w:rPr>
          <w:bCs/>
          <w:lang w:val="id-ID"/>
        </w:rPr>
        <w:t xml:space="preserve"> pt font size </w:t>
      </w:r>
      <w:r w:rsidR="007B72D1">
        <w:rPr>
          <w:bCs/>
          <w:lang w:val="id-ID"/>
        </w:rPr>
        <w:fldChar w:fldCharType="begin" w:fldLock="1"/>
      </w:r>
      <w:r w:rsidR="00EF1162">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0b830664-3d0e-4c6c-ae65-5339b8b9e6ec"]},{"id":"ITEM-2","itemData":{"DOI":"10.1109/ACCESS.2019.2899402","author":[{"dropping-particle":"","family":"Huang","given":"M.","non-dropping-particle":"","parse-names":false,"suffix":""},{"dropping-particle":"","family":"Liu","given":"W.","non-dropping-particle":"","parse-names":false,"suffix":""},{"dropping-particle":"","family":"Wang","given":"T.","non-dropping-particle":"","parse-names":false,"suffix":""},{"dropping-particle":"","family":"Song","given":"H.","non-dropping-particle":"","parse-names":false,"suffix":""},{"dropping-particle":"","family":"Li","given":"X.","non-dropping-particle":"","parse-names":false,"suffix":""},{"dropping-particle":"","family":"Liu","given":"A.","non-dropping-particle":"","parse-names":false,"suffix":""}],"container-title":"IEEE Access","id":"ITEM-2","issued":{"date-parts":[["2019"]]},"page":"23816–23833","title":"A queuing delay utilization scheme for on-path service aggregation in services-oriented computing networks","type":"article-journal","volume":"7"},"uris":["http://www.mendeley.com/documents/?uuid=c5d480d5-da79-417f-8ad1-3a2402411ee6"]},{"id":"ITEM-3","itemData":{"DOI":"10.3390/s19071711","ISSN":"14248220","PMID":"30974791","abstract":"Marine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(Switzerland)","id":"ITEM-3","issue":"7","issued":{"date-parts":[["2019"]]},"page":"1-21","title":"Internet of things in marine environment monitoring: A review","type":"article-journal","volume":"19"},"uris":["http://www.mendeley.com/documents/?uuid=053b0254-9186-49d6-b745-60b954853704"]},{"id":"ITEM-4","itemData":{"DOI":"10.3390/s19092206","author":[{"dropping-particle":"","family":"Aqib","given":"M.","non-dropping-particle":"","parse-names":false,"suffix":""},{"dropping-particle":"","family":"Mehmood","given":"R.","non-dropping-particle":"","parse-names":false,"suffix":""},{"dropping-particle":"","family":"Alzahrani","given":"A.","non-dropping-particle":"","parse-names":false,"suffix":""},{"dropping-particle":"","family":"Katib","given":"I.","non-dropping-particle":"","parse-names":false,"suffix":""},{"dropping-particle":"","family":"Albeshri","given":"A.","non-dropping-particle":"","parse-names":false,"suffix":""},{"dropping-particle":"","family":"Altowaijri","given":"S. M.","non-dropping-particle":"","parse-names":false,"suffix":""}],"container-title":"Sensors","id":"ITEM-4","issue":"9","issued":{"date-parts":[["2019"]]},"page":"2206-2239","title":"Smarter Traffic Prediction Using Big Data, In-Memory Computing, Deep Learning and GPUs","type":"article-journal","volume":"19"},"uris":["http://www.mendeley.com/documents/?uuid=5b487fa7-029c-45d7-a00c-c3538adcaa3b"]},{"id":"ITEM-5","itemData":{"DOI":"10.1007/978-981-13-6339-9_11","author":[{"dropping-particle":"","family":"Stylos","given":"Nikolaos","non-dropping-particle":"","parse-names":false,"suffix":""},{"dropping-particle":"","family":"Zwiegelaar","given":"Jeremy","non-dropping-particle":"","parse-names":false,"suffix":""}],"container-title":"Big Data and Innovation in Tourism, Travel, and Hospitality","id":"ITEM-5","issued":{"date-parts":[["2019"]]},"page":"163-181","publisher":"Springer","publisher-place":"Singapore","title":"Big Data as a Game Changer: How Does It Shape Business Intelligence Within a Tourism and Hospitality Industry Context?","type":"chapter"},"uris":["http://www.mendeley.com/documents/?uuid=e93802c4-0e9a-4e25-81c2-ad58a37095d7"]},{"id":"ITEM-6","itemData":{"DOI":"10.1145/3278607","ISSN":"1556-4681","abstract":"Tensor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the following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along with several available software repositories.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CM Transactions on Knowledge Discovery from Data","id":"ITEM-6","issue":"1","issued":{"date-parts":[["2019","1"]]},"page":"1-48","title":"Tensor Completion Algorithms in Big Data Analytics","type":"article-journal","volume":"13"},"uris":["http://www.mendeley.com/documents/?uuid=f63d2be8-c68b-4bbb-a7db-334a7087ff36"]}],"mendeley":{"formattedCitation":"[20]–[25]","plainTextFormattedCitation":"[20]–[25]","previouslyFormattedCitation":"[20]–[25]"},"properties":{"noteIndex":0},"schema":"https://github.com/citation-style-language/schema/raw/master/csl-citation.json"}</w:instrText>
      </w:r>
      <w:r w:rsidR="007B72D1">
        <w:rPr>
          <w:bCs/>
          <w:lang w:val="id-ID"/>
        </w:rPr>
        <w:fldChar w:fldCharType="separate"/>
      </w:r>
      <w:r w:rsidR="00EF1162" w:rsidRPr="00EF1162">
        <w:rPr>
          <w:bCs/>
          <w:noProof/>
          <w:lang w:val="id-ID"/>
        </w:rPr>
        <w:t>[20]–[25]</w:t>
      </w:r>
      <w:r w:rsidR="007B72D1">
        <w:rPr>
          <w:bCs/>
          <w:lang w:val="id-ID"/>
        </w:rPr>
        <w:fldChar w:fldCharType="end"/>
      </w:r>
      <w:r w:rsidR="007B72D1" w:rsidRPr="008E297A">
        <w:rPr>
          <w:bCs/>
          <w:lang w:val="id-ID"/>
        </w:rPr>
        <w:t>.</w:t>
      </w:r>
    </w:p>
    <w:p w14:paraId="740F6FB0" w14:textId="29CA500F" w:rsidR="00E619D6" w:rsidRPr="003D6B19" w:rsidRDefault="00E619D6" w:rsidP="007B72D1">
      <w:pPr>
        <w:ind w:firstLine="709"/>
        <w:jc w:val="both"/>
        <w:rPr>
          <w:bCs/>
          <w:lang w:val="id-ID"/>
        </w:rPr>
      </w:pPr>
    </w:p>
    <w:p w14:paraId="0F3CA98D" w14:textId="3D915CCD" w:rsidR="00E619D6" w:rsidRPr="003D6B19" w:rsidRDefault="002B15E8" w:rsidP="00E619D6">
      <w:pPr>
        <w:rPr>
          <w:rStyle w:val="fontstyle21"/>
          <w:rFonts w:ascii="Times New Roman" w:hAnsi="Times New Roman"/>
        </w:rPr>
      </w:pPr>
      <w:r>
        <w:rPr>
          <w:rStyle w:val="fontstyle01"/>
          <w:rFonts w:ascii="Times New Roman" w:hAnsi="Times New Roman"/>
        </w:rPr>
        <w:t>5</w:t>
      </w:r>
      <w:r w:rsidR="00E619D6" w:rsidRPr="003D6B19">
        <w:rPr>
          <w:rStyle w:val="fontstyle01"/>
          <w:rFonts w:ascii="Times New Roman" w:hAnsi="Times New Roman"/>
        </w:rPr>
        <w:t xml:space="preserve">.2.1. </w:t>
      </w:r>
      <w:proofErr w:type="spellStart"/>
      <w:r w:rsidR="00E619D6" w:rsidRPr="003D6B19">
        <w:rPr>
          <w:rStyle w:val="fontstyle01"/>
          <w:rFonts w:ascii="Times New Roman" w:hAnsi="Times New Roman"/>
        </w:rPr>
        <w:t>Subsub</w:t>
      </w:r>
      <w:proofErr w:type="spellEnd"/>
      <w:r w:rsidR="00E619D6" w:rsidRPr="003D6B19">
        <w:rPr>
          <w:rStyle w:val="fontstyle01"/>
          <w:rFonts w:ascii="Times New Roman" w:hAnsi="Times New Roman"/>
        </w:rPr>
        <w:t xml:space="preserve"> section 1</w:t>
      </w:r>
    </w:p>
    <w:p w14:paraId="25414E61" w14:textId="77777777" w:rsidR="00E619D6" w:rsidRPr="003D6B19" w:rsidRDefault="00E619D6" w:rsidP="00E619D6">
      <w:pPr>
        <w:ind w:firstLine="720"/>
        <w:jc w:val="both"/>
        <w:rPr>
          <w:rStyle w:val="fontstyle01"/>
          <w:rFonts w:ascii="Times New Roman" w:hAnsi="Times New Roman"/>
        </w:rPr>
      </w:pPr>
      <w:r w:rsidRPr="003D6B19">
        <w:rPr>
          <w:lang w:val="id-ID"/>
        </w:rPr>
        <w:t>yy</w:t>
      </w:r>
      <w:r w:rsidRPr="003D6B19">
        <w:rPr>
          <w:color w:val="000000"/>
        </w:rPr>
        <w:br/>
      </w:r>
    </w:p>
    <w:p w14:paraId="5568B601" w14:textId="3D97B562" w:rsidR="00E619D6" w:rsidRPr="003D6B19" w:rsidRDefault="002B15E8" w:rsidP="00E619D6">
      <w:pPr>
        <w:rPr>
          <w:rStyle w:val="fontstyle21"/>
          <w:rFonts w:ascii="Times New Roman" w:hAnsi="Times New Roman"/>
        </w:rPr>
      </w:pPr>
      <w:r>
        <w:rPr>
          <w:rStyle w:val="fontstyle01"/>
          <w:rFonts w:ascii="Times New Roman" w:hAnsi="Times New Roman"/>
        </w:rPr>
        <w:t>5</w:t>
      </w:r>
      <w:r w:rsidR="00E619D6" w:rsidRPr="003D6B19">
        <w:rPr>
          <w:rStyle w:val="fontstyle01"/>
          <w:rFonts w:ascii="Times New Roman" w:hAnsi="Times New Roman"/>
        </w:rPr>
        <w:t xml:space="preserve">.2.2. </w:t>
      </w:r>
      <w:proofErr w:type="spellStart"/>
      <w:r w:rsidR="00E619D6" w:rsidRPr="003D6B19">
        <w:rPr>
          <w:rStyle w:val="fontstyle01"/>
          <w:rFonts w:ascii="Times New Roman" w:hAnsi="Times New Roman"/>
        </w:rPr>
        <w:t>Subsub</w:t>
      </w:r>
      <w:proofErr w:type="spellEnd"/>
      <w:r w:rsidR="00E619D6" w:rsidRPr="003D6B19">
        <w:rPr>
          <w:rStyle w:val="fontstyle01"/>
          <w:rFonts w:ascii="Times New Roman" w:hAnsi="Times New Roman"/>
        </w:rPr>
        <w:t xml:space="preserve"> section 2</w:t>
      </w:r>
    </w:p>
    <w:p w14:paraId="2D1B2B3E" w14:textId="77777777" w:rsidR="00E619D6" w:rsidRPr="003D6B19" w:rsidRDefault="00E619D6" w:rsidP="00E619D6">
      <w:pPr>
        <w:ind w:firstLine="720"/>
        <w:jc w:val="both"/>
        <w:rPr>
          <w:b/>
          <w:bCs/>
        </w:rPr>
      </w:pPr>
      <w:proofErr w:type="spellStart"/>
      <w:r w:rsidRPr="003D6B19">
        <w:t>zz</w:t>
      </w:r>
      <w:proofErr w:type="spellEnd"/>
    </w:p>
    <w:p w14:paraId="0656AC10" w14:textId="77777777" w:rsidR="00E619D6" w:rsidRPr="003D6B19" w:rsidRDefault="00E619D6" w:rsidP="00E619D6">
      <w:pPr>
        <w:rPr>
          <w:lang w:val="id-ID"/>
        </w:rPr>
      </w:pPr>
    </w:p>
    <w:p w14:paraId="4613A0AD" w14:textId="77777777" w:rsidR="00E619D6" w:rsidRPr="003D6B19" w:rsidRDefault="00E619D6" w:rsidP="00E619D6">
      <w:pPr>
        <w:rPr>
          <w:lang w:val="id-ID"/>
        </w:rPr>
      </w:pPr>
    </w:p>
    <w:p w14:paraId="7A07F5E5"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r w:rsidRPr="003D6B19">
        <w:rPr>
          <w:b/>
          <w:bCs/>
        </w:rPr>
        <w:t xml:space="preserve"> (10 PT)</w:t>
      </w:r>
    </w:p>
    <w:p w14:paraId="7A7E94F0" w14:textId="721498D8" w:rsidR="00E619D6" w:rsidRPr="003D6B19" w:rsidRDefault="00E619D6" w:rsidP="00354A58">
      <w:pPr>
        <w:ind w:firstLine="709"/>
        <w:jc w:val="both"/>
        <w:rPr>
          <w:lang w:val="id-ID"/>
        </w:rPr>
      </w:pPr>
      <w:r w:rsidRPr="003D6B19">
        <w:rPr>
          <w:lang w:val="id-ID"/>
        </w:rPr>
        <w:t xml:space="preserve">Provide </w:t>
      </w:r>
      <w:r w:rsidR="00354A58" w:rsidRPr="003D6B19">
        <w:rPr>
          <w:lang w:val="id-ID"/>
        </w:rPr>
        <w:t xml:space="preserve">a statement that what is expected, as stated in the "INTRODUCTION" </w:t>
      </w:r>
      <w:r w:rsidR="00354A58" w:rsidRPr="003D6B19">
        <w:t>section</w:t>
      </w:r>
      <w:r w:rsidR="00354A58" w:rsidRPr="003D6B19">
        <w:rPr>
          <w:lang w:val="id-ID"/>
        </w:rPr>
        <w:t xml:space="preserve"> can ultimately result in "RESULTS AND DISCUSSION" </w:t>
      </w:r>
      <w:r w:rsidR="00354A58" w:rsidRPr="003D6B19">
        <w:t>section</w:t>
      </w:r>
      <w:r w:rsidR="00354A58" w:rsidRPr="003D6B19">
        <w:rPr>
          <w:lang w:val="id-ID"/>
        </w:rPr>
        <w:t>, so there is compatibility. Moreover, it can also be added the prospect of the development of research results and application prospects of further studies into the next (based on result and discussion).</w:t>
      </w:r>
    </w:p>
    <w:p w14:paraId="1B388F68" w14:textId="77777777" w:rsidR="00354A58" w:rsidRPr="003D6B19" w:rsidRDefault="00354A58" w:rsidP="00354A58">
      <w:pPr>
        <w:ind w:firstLine="709"/>
        <w:jc w:val="both"/>
        <w:rPr>
          <w:b/>
          <w:bCs/>
        </w:rPr>
      </w:pPr>
    </w:p>
    <w:p w14:paraId="6524B611" w14:textId="77777777" w:rsidR="00E619D6" w:rsidRPr="003D6B19" w:rsidRDefault="00E619D6" w:rsidP="00E619D6">
      <w:pPr>
        <w:rPr>
          <w:b/>
          <w:bCs/>
        </w:rPr>
      </w:pPr>
    </w:p>
    <w:p w14:paraId="4C69A62F" w14:textId="77777777" w:rsidR="00E619D6" w:rsidRPr="003D6B19" w:rsidRDefault="00E619D6" w:rsidP="00E619D6">
      <w:pPr>
        <w:rPr>
          <w:rStyle w:val="apple-style-span"/>
          <w:b/>
          <w:color w:val="000000"/>
          <w:lang w:val="pt-BR"/>
        </w:rPr>
      </w:pPr>
      <w:r w:rsidRPr="003D6B19">
        <w:rPr>
          <w:rStyle w:val="apple-style-span"/>
          <w:b/>
          <w:color w:val="000000"/>
          <w:lang w:val="pt-BR"/>
        </w:rPr>
        <w:t xml:space="preserve">ACKNOWLEDGEMENTS </w:t>
      </w:r>
      <w:r w:rsidRPr="003D6B19">
        <w:rPr>
          <w:b/>
          <w:bCs/>
        </w:rPr>
        <w:t>(10 PT)</w:t>
      </w:r>
    </w:p>
    <w:p w14:paraId="54AE7F84" w14:textId="331FB080" w:rsidR="00354A58" w:rsidRPr="003D6B19" w:rsidRDefault="00E94443" w:rsidP="00354A58">
      <w:pPr>
        <w:ind w:firstLine="720"/>
        <w:jc w:val="both"/>
        <w:rPr>
          <w:rStyle w:val="apple-style-span"/>
          <w:bCs/>
          <w:color w:val="000000"/>
          <w:lang w:val="pt-BR"/>
        </w:rPr>
      </w:pPr>
      <w:bookmarkStart w:id="9" w:name="_Hlk78354940"/>
      <w:r w:rsidRPr="00735BBC">
        <w:t>Author</w:t>
      </w:r>
      <w:r w:rsidRPr="00E94443">
        <w:t xml:space="preserve"> thanks ... </w:t>
      </w:r>
      <w:r>
        <w:t>.</w:t>
      </w:r>
      <w:r w:rsidRPr="00E94443">
        <w:t xml:space="preserve"> In most cases, sponsor and financial support acknowledgments</w:t>
      </w:r>
      <w:r>
        <w:t>.</w:t>
      </w:r>
    </w:p>
    <w:bookmarkEnd w:id="9"/>
    <w:p w14:paraId="3B8CC628" w14:textId="455ED99F" w:rsidR="00E619D6" w:rsidRPr="003D6B19" w:rsidRDefault="00E619D6" w:rsidP="00354A58">
      <w:pPr>
        <w:ind w:firstLine="720"/>
        <w:jc w:val="both"/>
        <w:rPr>
          <w:rStyle w:val="apple-style-span"/>
          <w:bCs/>
          <w:color w:val="000000"/>
          <w:lang w:val="pt-BR"/>
        </w:rPr>
      </w:pPr>
    </w:p>
    <w:p w14:paraId="229ACC24" w14:textId="77777777" w:rsidR="00E619D6" w:rsidRPr="003D6B19" w:rsidRDefault="00E619D6" w:rsidP="00E619D6">
      <w:pPr>
        <w:rPr>
          <w:rStyle w:val="apple-style-span"/>
          <w:bCs/>
          <w:color w:val="000000"/>
          <w:lang w:val="pt-BR"/>
        </w:rPr>
      </w:pPr>
    </w:p>
    <w:p w14:paraId="2796523A" w14:textId="77777777" w:rsidR="00E619D6" w:rsidRPr="003D6B19" w:rsidRDefault="00E619D6" w:rsidP="00E619D6">
      <w:pPr>
        <w:rPr>
          <w:color w:val="000000"/>
          <w:lang w:val="pt-BR"/>
        </w:rPr>
      </w:pPr>
      <w:r w:rsidRPr="003D6B19">
        <w:rPr>
          <w:rStyle w:val="apple-style-span"/>
          <w:b/>
          <w:color w:val="000000"/>
          <w:lang w:val="pt-BR"/>
        </w:rPr>
        <w:t xml:space="preserve">REFERENCES </w:t>
      </w:r>
      <w:r w:rsidRPr="003D6B19">
        <w:rPr>
          <w:b/>
          <w:bCs/>
        </w:rPr>
        <w:t>(10 PT)</w:t>
      </w:r>
    </w:p>
    <w:p w14:paraId="616EA49E" w14:textId="77777777" w:rsidR="00E022D7" w:rsidRPr="00BD001D" w:rsidRDefault="00E022D7" w:rsidP="00E022D7">
      <w:pPr>
        <w:ind w:firstLine="720"/>
        <w:jc w:val="both"/>
        <w:rPr>
          <w:sz w:val="16"/>
          <w:szCs w:val="16"/>
        </w:rPr>
      </w:pPr>
      <w:bookmarkStart w:id="10" w:name="_Hlk78354957"/>
      <w:r w:rsidRPr="00BD001D">
        <w:rPr>
          <w:color w:val="000000"/>
          <w:sz w:val="16"/>
          <w:szCs w:val="16"/>
        </w:rPr>
        <w:t xml:space="preserve">The main references are </w:t>
      </w:r>
      <w:r w:rsidRPr="00BD001D">
        <w:rPr>
          <w:sz w:val="16"/>
          <w:szCs w:val="16"/>
        </w:rPr>
        <w:t>international</w:t>
      </w:r>
      <w:r w:rsidRPr="00BD001D">
        <w:rPr>
          <w:color w:val="000000"/>
          <w:sz w:val="16"/>
          <w:szCs w:val="16"/>
        </w:rPr>
        <w:t xml:space="preserve"> journals and proceedings. All references should be to the most pertinent, up-to-date sources </w:t>
      </w:r>
      <w:r w:rsidRPr="00BD001D">
        <w:rPr>
          <w:b/>
          <w:bCs/>
          <w:color w:val="000000"/>
          <w:sz w:val="16"/>
          <w:szCs w:val="16"/>
        </w:rPr>
        <w:t xml:space="preserve">and the </w:t>
      </w:r>
      <w:r w:rsidRPr="00BD001D">
        <w:rPr>
          <w:b/>
          <w:bCs/>
          <w:sz w:val="16"/>
          <w:szCs w:val="16"/>
        </w:rPr>
        <w:t xml:space="preserve">minimum of references </w:t>
      </w:r>
      <w:r w:rsidRPr="00BD001D">
        <w:rPr>
          <w:sz w:val="16"/>
          <w:szCs w:val="16"/>
        </w:rPr>
        <w:t xml:space="preserve">are </w:t>
      </w:r>
      <w:r w:rsidRPr="00BD001D">
        <w:rPr>
          <w:b/>
          <w:bCs/>
          <w:sz w:val="16"/>
          <w:szCs w:val="16"/>
        </w:rPr>
        <w:t xml:space="preserve">25 entries </w:t>
      </w:r>
      <w:r w:rsidRPr="00BD001D">
        <w:rPr>
          <w:sz w:val="16"/>
          <w:szCs w:val="16"/>
        </w:rPr>
        <w:t>(for original research paper)</w:t>
      </w:r>
      <w:r w:rsidRPr="00BD001D">
        <w:rPr>
          <w:b/>
          <w:bCs/>
          <w:sz w:val="16"/>
          <w:szCs w:val="16"/>
        </w:rPr>
        <w:t xml:space="preserve"> </w:t>
      </w:r>
      <w:r w:rsidRPr="00BD001D">
        <w:rPr>
          <w:sz w:val="16"/>
          <w:szCs w:val="16"/>
        </w:rPr>
        <w:t xml:space="preserve">and </w:t>
      </w:r>
      <w:r w:rsidRPr="00BD001D">
        <w:rPr>
          <w:b/>
          <w:bCs/>
          <w:sz w:val="16"/>
          <w:szCs w:val="16"/>
        </w:rPr>
        <w:t xml:space="preserve">50 entries </w:t>
      </w:r>
      <w:r w:rsidRPr="00BD001D">
        <w:rPr>
          <w:sz w:val="16"/>
          <w:szCs w:val="16"/>
        </w:rPr>
        <w:t xml:space="preserve">(for review/survey paper). References are written in </w:t>
      </w:r>
      <w:r w:rsidRPr="00BD001D">
        <w:rPr>
          <w:b/>
          <w:bCs/>
          <w:sz w:val="16"/>
          <w:szCs w:val="16"/>
        </w:rPr>
        <w:t>IEEE style</w:t>
      </w:r>
      <w:r w:rsidRPr="00BD001D">
        <w:rPr>
          <w:sz w:val="16"/>
          <w:szCs w:val="16"/>
        </w:rPr>
        <w:t xml:space="preserve">. For more complete guide can be accessed at (http://ipmuonline.com/guide/refstyle.pdf). Use of a tool such as </w:t>
      </w:r>
      <w:r w:rsidRPr="00BD001D">
        <w:rPr>
          <w:b/>
          <w:bCs/>
          <w:sz w:val="16"/>
          <w:szCs w:val="16"/>
        </w:rPr>
        <w:t>EndNote</w:t>
      </w:r>
      <w:r w:rsidRPr="00BD001D">
        <w:rPr>
          <w:sz w:val="16"/>
          <w:szCs w:val="16"/>
        </w:rPr>
        <w:t xml:space="preserve">, </w:t>
      </w:r>
      <w:r w:rsidRPr="00BD001D">
        <w:rPr>
          <w:b/>
          <w:bCs/>
          <w:sz w:val="16"/>
          <w:szCs w:val="16"/>
        </w:rPr>
        <w:t>Mendeley</w:t>
      </w:r>
      <w:r w:rsidRPr="00BD001D">
        <w:rPr>
          <w:sz w:val="16"/>
          <w:szCs w:val="16"/>
        </w:rPr>
        <w:t xml:space="preserve">, or </w:t>
      </w:r>
      <w:r w:rsidRPr="00BD001D">
        <w:rPr>
          <w:b/>
          <w:bCs/>
          <w:sz w:val="16"/>
          <w:szCs w:val="16"/>
        </w:rPr>
        <w:t>Zotero</w:t>
      </w:r>
      <w:r w:rsidRPr="00BD001D">
        <w:rPr>
          <w:sz w:val="16"/>
          <w:szCs w:val="16"/>
        </w:rPr>
        <w:t xml:space="preserve"> for reference management and formatting, and choose </w:t>
      </w:r>
      <w:r w:rsidRPr="00BD001D">
        <w:rPr>
          <w:b/>
          <w:bCs/>
          <w:sz w:val="16"/>
          <w:szCs w:val="16"/>
        </w:rPr>
        <w:t>IEEE style</w:t>
      </w:r>
      <w:r w:rsidRPr="00BD001D">
        <w:rPr>
          <w:sz w:val="16"/>
          <w:szCs w:val="16"/>
        </w:rPr>
        <w:t xml:space="preserve">. </w:t>
      </w:r>
      <w:r w:rsidRPr="00BD001D">
        <w:rPr>
          <w:iCs/>
          <w:sz w:val="16"/>
          <w:szCs w:val="16"/>
        </w:rPr>
        <w:t>Please use</w:t>
      </w:r>
      <w:r w:rsidRPr="00BD001D">
        <w:rPr>
          <w:sz w:val="16"/>
          <w:szCs w:val="16"/>
        </w:rPr>
        <w:t xml:space="preserve"> a consistent format for </w:t>
      </w:r>
      <w:r w:rsidRPr="00BD001D">
        <w:rPr>
          <w:iCs/>
          <w:sz w:val="16"/>
          <w:szCs w:val="16"/>
        </w:rPr>
        <w:t>references-</w:t>
      </w:r>
      <w:r w:rsidRPr="00BD001D">
        <w:rPr>
          <w:sz w:val="16"/>
          <w:szCs w:val="16"/>
        </w:rPr>
        <w:t>see examples (8 pt):</w:t>
      </w:r>
    </w:p>
    <w:bookmarkEnd w:id="10"/>
    <w:p w14:paraId="6E894EB8" w14:textId="77777777" w:rsidR="00DC0A87" w:rsidRPr="00E022D7" w:rsidRDefault="00DC0A87" w:rsidP="00E619D6">
      <w:pPr>
        <w:jc w:val="both"/>
        <w:rPr>
          <w:color w:val="000000"/>
        </w:rPr>
      </w:pPr>
    </w:p>
    <w:p w14:paraId="37129761" w14:textId="7A93E79D" w:rsidR="00E619D6" w:rsidRPr="003D6B19" w:rsidRDefault="00E619D6" w:rsidP="00E619D6">
      <w:pPr>
        <w:jc w:val="both"/>
        <w:rPr>
          <w:i/>
          <w:iCs/>
          <w:color w:val="000000"/>
          <w:sz w:val="18"/>
          <w:szCs w:val="18"/>
        </w:rPr>
      </w:pPr>
      <w:r w:rsidRPr="003D6B19">
        <w:rPr>
          <w:i/>
          <w:iCs/>
          <w:color w:val="000000"/>
          <w:sz w:val="18"/>
          <w:szCs w:val="18"/>
        </w:rPr>
        <w:t>See the examples:</w:t>
      </w:r>
    </w:p>
    <w:p w14:paraId="2969FE6E" w14:textId="77777777" w:rsidR="00354A58" w:rsidRPr="003D6B19" w:rsidRDefault="00354A58" w:rsidP="00354A58">
      <w:pPr>
        <w:jc w:val="both"/>
        <w:rPr>
          <w:i/>
          <w:iCs/>
          <w:color w:val="000000"/>
          <w:sz w:val="18"/>
          <w:szCs w:val="18"/>
        </w:rPr>
      </w:pPr>
      <w:bookmarkStart w:id="11" w:name="_Hlk78354977"/>
      <w:r w:rsidRPr="003D6B19">
        <w:rPr>
          <w:rStyle w:val="apple-style-span"/>
          <w:b/>
          <w:color w:val="000000"/>
          <w:lang w:val="pt-BR"/>
        </w:rPr>
        <w:t>REFERENCES</w:t>
      </w:r>
    </w:p>
    <w:bookmarkStart w:id="12" w:name="_Hlk92454440"/>
    <w:bookmarkEnd w:id="11"/>
    <w:p w14:paraId="76C8FDA4" w14:textId="1C5C58A6" w:rsidR="0074412E" w:rsidRPr="0074412E" w:rsidRDefault="007B72D1" w:rsidP="0074412E">
      <w:pPr>
        <w:widowControl w:val="0"/>
        <w:autoSpaceDE w:val="0"/>
        <w:autoSpaceDN w:val="0"/>
        <w:adjustRightInd w:val="0"/>
        <w:ind w:left="426" w:hanging="426"/>
        <w:jc w:val="both"/>
        <w:rPr>
          <w:noProof/>
          <w:sz w:val="16"/>
          <w:szCs w:val="24"/>
        </w:rPr>
      </w:pPr>
      <w:r w:rsidRPr="00E022D7">
        <w:rPr>
          <w:color w:val="000000"/>
          <w:sz w:val="16"/>
          <w:szCs w:val="16"/>
        </w:rPr>
        <w:fldChar w:fldCharType="begin" w:fldLock="1"/>
      </w:r>
      <w:r w:rsidRPr="00E022D7">
        <w:rPr>
          <w:color w:val="000000"/>
          <w:sz w:val="16"/>
          <w:szCs w:val="16"/>
        </w:rPr>
        <w:instrText xml:space="preserve">ADDIN Mendeley Bibliography CSL_BIBLIOGRAPHY </w:instrText>
      </w:r>
      <w:r w:rsidRPr="00E022D7">
        <w:rPr>
          <w:color w:val="000000"/>
          <w:sz w:val="16"/>
          <w:szCs w:val="16"/>
        </w:rPr>
        <w:fldChar w:fldCharType="separate"/>
      </w:r>
      <w:r w:rsidR="0074412E" w:rsidRPr="0074412E">
        <w:rPr>
          <w:noProof/>
          <w:sz w:val="16"/>
          <w:szCs w:val="24"/>
        </w:rPr>
        <w:t>[1]</w:t>
      </w:r>
      <w:r w:rsidR="0074412E" w:rsidRPr="0074412E">
        <w:rPr>
          <w:noProof/>
          <w:sz w:val="16"/>
          <w:szCs w:val="24"/>
        </w:rPr>
        <w:tab/>
        <w:t xml:space="preserve">D. Jovcic, “Series LC DC circuit breaker,” </w:t>
      </w:r>
      <w:r w:rsidR="0074412E" w:rsidRPr="0074412E">
        <w:rPr>
          <w:i/>
          <w:iCs/>
          <w:noProof/>
          <w:sz w:val="16"/>
          <w:szCs w:val="24"/>
        </w:rPr>
        <w:t>High Volt.</w:t>
      </w:r>
      <w:r w:rsidR="0074412E" w:rsidRPr="0074412E">
        <w:rPr>
          <w:noProof/>
          <w:sz w:val="16"/>
          <w:szCs w:val="24"/>
        </w:rPr>
        <w:t>, vol. 4, no. 2, pp. 130–137, Jun. 2019, doi: 10.1049/hve.2019.0003.</w:t>
      </w:r>
    </w:p>
    <w:p w14:paraId="17B76601"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[2]</w:t>
      </w:r>
      <w:r w:rsidRPr="0074412E">
        <w:rPr>
          <w:noProof/>
          <w:sz w:val="16"/>
          <w:szCs w:val="24"/>
        </w:rPr>
        <w:tab/>
        <w:t xml:space="preserve">P. Pareek and H. D. Nguyen, “Probabilistic robust small-signal stability framework using gaussian process learning,” </w:t>
      </w:r>
      <w:r w:rsidRPr="0074412E">
        <w:rPr>
          <w:i/>
          <w:iCs/>
          <w:noProof/>
          <w:sz w:val="16"/>
          <w:szCs w:val="24"/>
        </w:rPr>
        <w:t>Electr. Power Syst. Res.</w:t>
      </w:r>
      <w:r w:rsidRPr="0074412E">
        <w:rPr>
          <w:noProof/>
          <w:sz w:val="16"/>
          <w:szCs w:val="24"/>
        </w:rPr>
        <w:t>, vol. 188, p. 106545, Nov. 2020, doi: 10.1016/j.epsr.2020.106545.</w:t>
      </w:r>
    </w:p>
    <w:p w14:paraId="71D0FDB7"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[3]</w:t>
      </w:r>
      <w:r w:rsidRPr="0074412E">
        <w:rPr>
          <w:noProof/>
          <w:sz w:val="16"/>
          <w:szCs w:val="24"/>
        </w:rPr>
        <w:tab/>
        <w:t xml:space="preserve">S. Leonelli and N. Tempini, </w:t>
      </w:r>
      <w:r w:rsidRPr="0074412E">
        <w:rPr>
          <w:i/>
          <w:iCs/>
          <w:noProof/>
          <w:sz w:val="16"/>
          <w:szCs w:val="24"/>
        </w:rPr>
        <w:t>Data Journeys in the Sciences</w:t>
      </w:r>
      <w:r w:rsidRPr="0074412E">
        <w:rPr>
          <w:noProof/>
          <w:sz w:val="16"/>
          <w:szCs w:val="24"/>
        </w:rPr>
        <w:t>. Springer.</w:t>
      </w:r>
    </w:p>
    <w:p w14:paraId="79A24F03"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[4]</w:t>
      </w:r>
      <w:r w:rsidRPr="0074412E">
        <w:rPr>
          <w:noProof/>
          <w:sz w:val="16"/>
          <w:szCs w:val="24"/>
        </w:rPr>
        <w:tab/>
        <w:t xml:space="preserve">G. Nguyen </w:t>
      </w:r>
      <w:r w:rsidRPr="0074412E">
        <w:rPr>
          <w:i/>
          <w:iCs/>
          <w:noProof/>
          <w:sz w:val="16"/>
          <w:szCs w:val="24"/>
        </w:rPr>
        <w:t>et al.</w:t>
      </w:r>
      <w:r w:rsidRPr="0074412E">
        <w:rPr>
          <w:noProof/>
          <w:sz w:val="16"/>
          <w:szCs w:val="24"/>
        </w:rPr>
        <w:t xml:space="preserve">, “Machine Learning and Deep Learning frameworks and libraries for large-scale data mining: a survey,” </w:t>
      </w:r>
      <w:r w:rsidRPr="0074412E">
        <w:rPr>
          <w:i/>
          <w:iCs/>
          <w:noProof/>
          <w:sz w:val="16"/>
          <w:szCs w:val="24"/>
        </w:rPr>
        <w:t>Artif. Intell. Rev.</w:t>
      </w:r>
      <w:r w:rsidRPr="0074412E">
        <w:rPr>
          <w:noProof/>
          <w:sz w:val="16"/>
          <w:szCs w:val="24"/>
        </w:rPr>
        <w:t>, vol. 52, no. 1, pp. 77–124, 2019, doi: 10.1007/s10462-018-09679-z.</w:t>
      </w:r>
    </w:p>
    <w:p w14:paraId="62BE17E7"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[5]</w:t>
      </w:r>
      <w:r w:rsidRPr="0074412E">
        <w:rPr>
          <w:noProof/>
          <w:sz w:val="16"/>
          <w:szCs w:val="24"/>
        </w:rPr>
        <w:tab/>
        <w:t xml:space="preserve">R. Vinayakumar, M. Alazab, K. P. Soman, P. Poornachandran, A. Al-Nemrat, and S. Venkatraman, “Deep Learning Approach for Intelligent Intrusion Detection System,” </w:t>
      </w:r>
      <w:r w:rsidRPr="0074412E">
        <w:rPr>
          <w:i/>
          <w:iCs/>
          <w:noProof/>
          <w:sz w:val="16"/>
          <w:szCs w:val="24"/>
        </w:rPr>
        <w:t>IEEE Access</w:t>
      </w:r>
      <w:r w:rsidRPr="0074412E">
        <w:rPr>
          <w:noProof/>
          <w:sz w:val="16"/>
          <w:szCs w:val="24"/>
        </w:rPr>
        <w:t>, vol. 7, pp. 41525–41550, 2019, doi: 10.1109/ACCESS.2019.2895334.</w:t>
      </w:r>
    </w:p>
    <w:p w14:paraId="31A7F5D3"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[6]</w:t>
      </w:r>
      <w:r w:rsidRPr="0074412E">
        <w:rPr>
          <w:noProof/>
          <w:sz w:val="16"/>
          <w:szCs w:val="24"/>
        </w:rPr>
        <w:tab/>
        <w:t xml:space="preserve">K. Sivaraman, R. M. V. Krishnan, B. Sundarraj, and S. Sri Gowthem, “Network failure detection and diagnosis by analyzing syslog and SNS data: Applying big data analysis to network operations,” </w:t>
      </w:r>
      <w:r w:rsidRPr="0074412E">
        <w:rPr>
          <w:i/>
          <w:iCs/>
          <w:noProof/>
          <w:sz w:val="16"/>
          <w:szCs w:val="24"/>
        </w:rPr>
        <w:t>Int. J. Innov. Technol. Explor. Eng.</w:t>
      </w:r>
      <w:r w:rsidRPr="0074412E">
        <w:rPr>
          <w:noProof/>
          <w:sz w:val="16"/>
          <w:szCs w:val="24"/>
        </w:rPr>
        <w:t>, vol. 8, no. 9 Special Issue 3, pp. 883–887, 2019, doi: 10.35940/ijitee.I3187.0789S319.</w:t>
      </w:r>
    </w:p>
    <w:p w14:paraId="138E71A0"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[7]</w:t>
      </w:r>
      <w:r w:rsidRPr="0074412E">
        <w:rPr>
          <w:noProof/>
          <w:sz w:val="16"/>
          <w:szCs w:val="24"/>
        </w:rPr>
        <w:tab/>
        <w:t xml:space="preserve">A. D. Dwivedi, G. Srivastava, S. Dhar, and R. Singh, “A decentralized privacy-preserving healthcare blockchain for IoT,” </w:t>
      </w:r>
      <w:r w:rsidRPr="0074412E">
        <w:rPr>
          <w:i/>
          <w:iCs/>
          <w:noProof/>
          <w:sz w:val="16"/>
          <w:szCs w:val="24"/>
        </w:rPr>
        <w:t>Sensors</w:t>
      </w:r>
      <w:r w:rsidRPr="0074412E">
        <w:rPr>
          <w:noProof/>
          <w:sz w:val="16"/>
          <w:szCs w:val="24"/>
        </w:rPr>
        <w:t>, vol. 19, no. 2, pp. 1–17, 2019, doi: 10.3390/s19020326.</w:t>
      </w:r>
    </w:p>
    <w:p w14:paraId="5AA9D606"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[8]</w:t>
      </w:r>
      <w:r w:rsidRPr="0074412E">
        <w:rPr>
          <w:noProof/>
          <w:sz w:val="16"/>
          <w:szCs w:val="24"/>
        </w:rPr>
        <w:tab/>
        <w:t xml:space="preserve">F. Al-Turjman, H. Zahmatkesh, and L. Mostarda, “Quantifying uncertainty in internet of medical things and big-data services using intelligence and deep learning,” </w:t>
      </w:r>
      <w:r w:rsidRPr="0074412E">
        <w:rPr>
          <w:i/>
          <w:iCs/>
          <w:noProof/>
          <w:sz w:val="16"/>
          <w:szCs w:val="24"/>
        </w:rPr>
        <w:t>IEEE Access</w:t>
      </w:r>
      <w:r w:rsidRPr="0074412E">
        <w:rPr>
          <w:noProof/>
          <w:sz w:val="16"/>
          <w:szCs w:val="24"/>
        </w:rPr>
        <w:t>, vol. 7, pp. 115749–115759, 2019, doi: 10.1109/ACCESS.2019.2931637.</w:t>
      </w:r>
    </w:p>
    <w:p w14:paraId="40848849"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[9]</w:t>
      </w:r>
      <w:r w:rsidRPr="0074412E">
        <w:rPr>
          <w:noProof/>
          <w:sz w:val="16"/>
          <w:szCs w:val="24"/>
        </w:rPr>
        <w:tab/>
        <w:t xml:space="preserve">S. Kumar and M. Singh, “Big data analytics for healthcare industry: Impact, applications, and tools,” </w:t>
      </w:r>
      <w:r w:rsidRPr="0074412E">
        <w:rPr>
          <w:i/>
          <w:iCs/>
          <w:noProof/>
          <w:sz w:val="16"/>
          <w:szCs w:val="24"/>
        </w:rPr>
        <w:t>Big Data Min. Anal.</w:t>
      </w:r>
      <w:r w:rsidRPr="0074412E">
        <w:rPr>
          <w:noProof/>
          <w:sz w:val="16"/>
          <w:szCs w:val="24"/>
        </w:rPr>
        <w:t>, vol. 2, no. 1, pp. 48–57, 2019, doi: 10.26599/BDMA.2018.9020031.</w:t>
      </w:r>
    </w:p>
    <w:p w14:paraId="376D25C5"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[10]</w:t>
      </w:r>
      <w:r w:rsidRPr="0074412E">
        <w:rPr>
          <w:noProof/>
          <w:sz w:val="16"/>
          <w:szCs w:val="24"/>
        </w:rPr>
        <w:tab/>
        <w:t xml:space="preserve">L. M. Ang, K. P. Seng, G. K. Ijemaru, and A. M. Zungeru, “Deployment of IoV for Smart Cities: Applications, Architecture, and Challenges,” </w:t>
      </w:r>
      <w:r w:rsidRPr="0074412E">
        <w:rPr>
          <w:i/>
          <w:iCs/>
          <w:noProof/>
          <w:sz w:val="16"/>
          <w:szCs w:val="24"/>
        </w:rPr>
        <w:t>IEEE Access</w:t>
      </w:r>
      <w:r w:rsidRPr="0074412E">
        <w:rPr>
          <w:noProof/>
          <w:sz w:val="16"/>
          <w:szCs w:val="24"/>
        </w:rPr>
        <w:t>, vol. 7, pp. 6473–6492, 2019, doi: 10.1109/ACCESS.2018.2887076.</w:t>
      </w:r>
    </w:p>
    <w:p w14:paraId="714EDAD1"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[11]</w:t>
      </w:r>
      <w:r w:rsidRPr="0074412E">
        <w:rPr>
          <w:noProof/>
          <w:sz w:val="16"/>
          <w:szCs w:val="24"/>
        </w:rPr>
        <w:tab/>
        <w:t xml:space="preserve">B. P. Lik Lau </w:t>
      </w:r>
      <w:r w:rsidRPr="0074412E">
        <w:rPr>
          <w:i/>
          <w:iCs/>
          <w:noProof/>
          <w:sz w:val="16"/>
          <w:szCs w:val="24"/>
        </w:rPr>
        <w:t>et al.</w:t>
      </w:r>
      <w:r w:rsidRPr="0074412E">
        <w:rPr>
          <w:noProof/>
          <w:sz w:val="16"/>
          <w:szCs w:val="24"/>
        </w:rPr>
        <w:t xml:space="preserve">, “A survey of data fusion in smart city applications,” </w:t>
      </w:r>
      <w:r w:rsidRPr="0074412E">
        <w:rPr>
          <w:i/>
          <w:iCs/>
          <w:noProof/>
          <w:sz w:val="16"/>
          <w:szCs w:val="24"/>
        </w:rPr>
        <w:t>Inf. Fusion</w:t>
      </w:r>
      <w:r w:rsidRPr="0074412E">
        <w:rPr>
          <w:noProof/>
          <w:sz w:val="16"/>
          <w:szCs w:val="24"/>
        </w:rPr>
        <w:t>, vol. 52, pp. 357–374, 2019, doi: 10.1016/j.inffus.2019.05.004.</w:t>
      </w:r>
    </w:p>
    <w:p w14:paraId="792D8579"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[12]</w:t>
      </w:r>
      <w:r w:rsidRPr="0074412E">
        <w:rPr>
          <w:noProof/>
          <w:sz w:val="16"/>
          <w:szCs w:val="24"/>
        </w:rPr>
        <w:tab/>
        <w:t xml:space="preserve">Y. Wu </w:t>
      </w:r>
      <w:r w:rsidRPr="0074412E">
        <w:rPr>
          <w:i/>
          <w:iCs/>
          <w:noProof/>
          <w:sz w:val="16"/>
          <w:szCs w:val="24"/>
        </w:rPr>
        <w:t>et al.</w:t>
      </w:r>
      <w:r w:rsidRPr="0074412E">
        <w:rPr>
          <w:noProof/>
          <w:sz w:val="16"/>
          <w:szCs w:val="24"/>
        </w:rPr>
        <w:t xml:space="preserve">, “Large scale incremental learning,” </w:t>
      </w:r>
      <w:r w:rsidRPr="0074412E">
        <w:rPr>
          <w:i/>
          <w:iCs/>
          <w:noProof/>
          <w:sz w:val="16"/>
          <w:szCs w:val="24"/>
        </w:rPr>
        <w:t>Proc. IEEE Comput. Soc. Conf. Comput. Vis. Pattern Recognit.</w:t>
      </w:r>
      <w:r w:rsidRPr="0074412E">
        <w:rPr>
          <w:noProof/>
          <w:sz w:val="16"/>
          <w:szCs w:val="24"/>
        </w:rPr>
        <w:t>, vol. 2019-June, pp. 374–382, 2019, doi: 10.1109/CVPR.2019.00046.</w:t>
      </w:r>
    </w:p>
    <w:p w14:paraId="62667568"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[13]</w:t>
      </w:r>
      <w:r w:rsidRPr="0074412E">
        <w:rPr>
          <w:noProof/>
          <w:sz w:val="16"/>
          <w:szCs w:val="24"/>
        </w:rPr>
        <w:tab/>
        <w:t xml:space="preserve">A. Mosavi, S. Shamshirband, E. Salwana, K. Chau, and J. H. M. Tah, “Prediction of multi-inputs bubble column reactor using a novel hybrid model of computational fluid dynamics and machine learning,” </w:t>
      </w:r>
      <w:r w:rsidRPr="0074412E">
        <w:rPr>
          <w:i/>
          <w:iCs/>
          <w:noProof/>
          <w:sz w:val="16"/>
          <w:szCs w:val="24"/>
        </w:rPr>
        <w:t>Eng. Appl. Comput. Fluid Mech.</w:t>
      </w:r>
      <w:r w:rsidRPr="0074412E">
        <w:rPr>
          <w:noProof/>
          <w:sz w:val="16"/>
          <w:szCs w:val="24"/>
        </w:rPr>
        <w:t>, vol. 13, no. 1, pp. 482–492, 2019, doi: 10.1080/19942060.2019.1613448.</w:t>
      </w:r>
    </w:p>
    <w:p w14:paraId="0FB2F9C4"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[14]</w:t>
      </w:r>
      <w:r w:rsidRPr="0074412E">
        <w:rPr>
          <w:noProof/>
          <w:sz w:val="16"/>
          <w:szCs w:val="24"/>
        </w:rPr>
        <w:tab/>
        <w:t xml:space="preserve">V. Palanisamy and R. Thirunavukarasu, “Implications of big data analytics in developing healthcare frameworks – A review,” </w:t>
      </w:r>
      <w:r w:rsidRPr="0074412E">
        <w:rPr>
          <w:i/>
          <w:iCs/>
          <w:noProof/>
          <w:sz w:val="16"/>
          <w:szCs w:val="24"/>
        </w:rPr>
        <w:t>J. King Saud Univ. - Comput. Inf. Sci.</w:t>
      </w:r>
      <w:r w:rsidRPr="0074412E">
        <w:rPr>
          <w:noProof/>
          <w:sz w:val="16"/>
          <w:szCs w:val="24"/>
        </w:rPr>
        <w:t>, vol. 31, no. 4, pp. 415–425, 2019, doi: 10.1016/j.jksuci.2017.12.007.</w:t>
      </w:r>
    </w:p>
    <w:p w14:paraId="602485A7"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[15]</w:t>
      </w:r>
      <w:r w:rsidRPr="0074412E">
        <w:rPr>
          <w:noProof/>
          <w:sz w:val="16"/>
          <w:szCs w:val="24"/>
        </w:rPr>
        <w:tab/>
        <w:t xml:space="preserve">J. Sadowski, “When data is capital: Datafication, accumulation, and extraction,” </w:t>
      </w:r>
      <w:r w:rsidRPr="0074412E">
        <w:rPr>
          <w:i/>
          <w:iCs/>
          <w:noProof/>
          <w:sz w:val="16"/>
          <w:szCs w:val="24"/>
        </w:rPr>
        <w:t>Big Data Soc.</w:t>
      </w:r>
      <w:r w:rsidRPr="0074412E">
        <w:rPr>
          <w:noProof/>
          <w:sz w:val="16"/>
          <w:szCs w:val="24"/>
        </w:rPr>
        <w:t>, vol. 6, no. 1, pp. 1–12, 2019, doi: 10.1177/2053951718820549.</w:t>
      </w:r>
    </w:p>
    <w:p w14:paraId="7428535F"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[16]</w:t>
      </w:r>
      <w:r w:rsidRPr="0074412E">
        <w:rPr>
          <w:noProof/>
          <w:sz w:val="16"/>
          <w:szCs w:val="24"/>
        </w:rPr>
        <w:tab/>
        <w:t xml:space="preserve">J. R. Saura, B. R. Herraez, and A. Reyes-Menendez, “Comparing a traditional approach for financial brand communication analysis with a big data analytics technique,” </w:t>
      </w:r>
      <w:r w:rsidRPr="0074412E">
        <w:rPr>
          <w:i/>
          <w:iCs/>
          <w:noProof/>
          <w:sz w:val="16"/>
          <w:szCs w:val="24"/>
        </w:rPr>
        <w:t>IEEE Access</w:t>
      </w:r>
      <w:r w:rsidRPr="0074412E">
        <w:rPr>
          <w:noProof/>
          <w:sz w:val="16"/>
          <w:szCs w:val="24"/>
        </w:rPr>
        <w:t>, vol. 7, pp. 37100–37108, 2019, doi: 10.1109/ACCESS.2019.2905301.</w:t>
      </w:r>
    </w:p>
    <w:p w14:paraId="4A135F71"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[17]</w:t>
      </w:r>
      <w:r w:rsidRPr="0074412E">
        <w:rPr>
          <w:noProof/>
          <w:sz w:val="16"/>
          <w:szCs w:val="24"/>
        </w:rPr>
        <w:tab/>
        <w:t xml:space="preserve">D. Nallaperuma </w:t>
      </w:r>
      <w:r w:rsidRPr="0074412E">
        <w:rPr>
          <w:i/>
          <w:iCs/>
          <w:noProof/>
          <w:sz w:val="16"/>
          <w:szCs w:val="24"/>
        </w:rPr>
        <w:t>et al.</w:t>
      </w:r>
      <w:r w:rsidRPr="0074412E">
        <w:rPr>
          <w:noProof/>
          <w:sz w:val="16"/>
          <w:szCs w:val="24"/>
        </w:rPr>
        <w:t xml:space="preserve">, “Online Incremental Machine Learning Platform for Big Data-Driven Smart Traffic Management,” </w:t>
      </w:r>
      <w:r w:rsidRPr="0074412E">
        <w:rPr>
          <w:i/>
          <w:iCs/>
          <w:noProof/>
          <w:sz w:val="16"/>
          <w:szCs w:val="24"/>
        </w:rPr>
        <w:t>IEEE Trans. Intell. Transp. Syst.</w:t>
      </w:r>
      <w:r w:rsidRPr="0074412E">
        <w:rPr>
          <w:noProof/>
          <w:sz w:val="16"/>
          <w:szCs w:val="24"/>
        </w:rPr>
        <w:t>, vol. 20, no. 12, pp. 4679–4690, 2019, doi: 10.1109/TITS.2019.2924883.</w:t>
      </w:r>
    </w:p>
    <w:p w14:paraId="64415CAC"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[18]</w:t>
      </w:r>
      <w:r w:rsidRPr="0074412E">
        <w:rPr>
          <w:noProof/>
          <w:sz w:val="16"/>
          <w:szCs w:val="24"/>
        </w:rPr>
        <w:tab/>
        <w:t xml:space="preserve">S. Schulz, M. Becker, M. R. Groseclose, S. Schadt, and C. Hopf, “Advanced MALDI mass spectrometry imaging in pharmaceutical research and drug development,” </w:t>
      </w:r>
      <w:r w:rsidRPr="0074412E">
        <w:rPr>
          <w:i/>
          <w:iCs/>
          <w:noProof/>
          <w:sz w:val="16"/>
          <w:szCs w:val="24"/>
        </w:rPr>
        <w:t>Curr. Opin. Biotechnol.</w:t>
      </w:r>
      <w:r w:rsidRPr="0074412E">
        <w:rPr>
          <w:noProof/>
          <w:sz w:val="16"/>
          <w:szCs w:val="24"/>
        </w:rPr>
        <w:t>, vol. 55, pp. 51–59, 2019, doi: 10.1016/j.copbio.2018.08.003.</w:t>
      </w:r>
    </w:p>
    <w:p w14:paraId="3A8D1E88"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[19]</w:t>
      </w:r>
      <w:r w:rsidRPr="0074412E">
        <w:rPr>
          <w:noProof/>
          <w:sz w:val="16"/>
          <w:szCs w:val="24"/>
        </w:rPr>
        <w:tab/>
        <w:t xml:space="preserve">C. Shang and F. You, “Data Analytics and Machine Learning for Smart Process Manufacturing: Recent Advances and Perspectives in the Big Data Era,” </w:t>
      </w:r>
      <w:r w:rsidRPr="0074412E">
        <w:rPr>
          <w:i/>
          <w:iCs/>
          <w:noProof/>
          <w:sz w:val="16"/>
          <w:szCs w:val="24"/>
        </w:rPr>
        <w:t>Engineering</w:t>
      </w:r>
      <w:r w:rsidRPr="0074412E">
        <w:rPr>
          <w:noProof/>
          <w:sz w:val="16"/>
          <w:szCs w:val="24"/>
        </w:rPr>
        <w:t>, vol. 5, no. 6, pp. 1010–1016, 2019, doi: 10.1016/j.eng.2019.01.019.</w:t>
      </w:r>
    </w:p>
    <w:p w14:paraId="52D91E66"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[20]</w:t>
      </w:r>
      <w:r w:rsidRPr="0074412E">
        <w:rPr>
          <w:noProof/>
          <w:sz w:val="16"/>
          <w:szCs w:val="24"/>
        </w:rPr>
        <w:tab/>
        <w:t xml:space="preserve">Y. Yu, M. Li, L. Liu, Y. Li, and J. Wang, “Clinical big data and deep learning: Applications, challenges, and future outlooks,” </w:t>
      </w:r>
      <w:r w:rsidRPr="0074412E">
        <w:rPr>
          <w:i/>
          <w:iCs/>
          <w:noProof/>
          <w:sz w:val="16"/>
          <w:szCs w:val="24"/>
        </w:rPr>
        <w:t>Big Data Min. Anal.</w:t>
      </w:r>
      <w:r w:rsidRPr="0074412E">
        <w:rPr>
          <w:noProof/>
          <w:sz w:val="16"/>
          <w:szCs w:val="24"/>
        </w:rPr>
        <w:t>, vol. 2, no. 4, pp. 288–305, 2019, doi: 10.26599/BDMA.2019.9020007.</w:t>
      </w:r>
    </w:p>
    <w:p w14:paraId="6E700478"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[21]</w:t>
      </w:r>
      <w:r w:rsidRPr="0074412E">
        <w:rPr>
          <w:noProof/>
          <w:sz w:val="16"/>
          <w:szCs w:val="24"/>
        </w:rPr>
        <w:tab/>
        <w:t xml:space="preserve">M. Huang, W. Liu, T. Wang, H. Song, X. Li, and A. Liu, “A queuing delay utilization scheme for on-path service aggregation in services-oriented computing networks,” </w:t>
      </w:r>
      <w:r w:rsidRPr="0074412E">
        <w:rPr>
          <w:i/>
          <w:iCs/>
          <w:noProof/>
          <w:sz w:val="16"/>
          <w:szCs w:val="24"/>
        </w:rPr>
        <w:t>IEEE Access</w:t>
      </w:r>
      <w:r w:rsidRPr="0074412E">
        <w:rPr>
          <w:noProof/>
          <w:sz w:val="16"/>
          <w:szCs w:val="24"/>
        </w:rPr>
        <w:t>, vol. 7, pp. 23816–23833, 2019, doi: 10.1109/ACCESS.2019.2899402.</w:t>
      </w:r>
    </w:p>
    <w:p w14:paraId="5A68727E"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[22]</w:t>
      </w:r>
      <w:r w:rsidRPr="0074412E">
        <w:rPr>
          <w:noProof/>
          <w:sz w:val="16"/>
          <w:szCs w:val="24"/>
        </w:rPr>
        <w:tab/>
        <w:t xml:space="preserve">G. Xu, Y. Shi, X. Sun, and W. Shen, “Internet of things in marine environment monitoring: A review,” </w:t>
      </w:r>
      <w:r w:rsidRPr="0074412E">
        <w:rPr>
          <w:i/>
          <w:iCs/>
          <w:noProof/>
          <w:sz w:val="16"/>
          <w:szCs w:val="24"/>
        </w:rPr>
        <w:t>Sensors (Switzerland)</w:t>
      </w:r>
      <w:r w:rsidRPr="0074412E">
        <w:rPr>
          <w:noProof/>
          <w:sz w:val="16"/>
          <w:szCs w:val="24"/>
        </w:rPr>
        <w:t>, vol. 19, no. 7, pp. 1–21, 2019, doi: 10.3390/s19071711.</w:t>
      </w:r>
    </w:p>
    <w:p w14:paraId="73FD3233"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[23]</w:t>
      </w:r>
      <w:r w:rsidRPr="0074412E">
        <w:rPr>
          <w:noProof/>
          <w:sz w:val="16"/>
          <w:szCs w:val="24"/>
        </w:rPr>
        <w:tab/>
        <w:t xml:space="preserve">M. Aqib, R. Mehmood, A. Alzahrani, I. Katib, A. Albeshri, and S. M. Altowaijri, “Smarter Traffic Prediction Using Big Data, In-Memory Computing, Deep Learning and GPUs,” </w:t>
      </w:r>
      <w:r w:rsidRPr="0074412E">
        <w:rPr>
          <w:i/>
          <w:iCs/>
          <w:noProof/>
          <w:sz w:val="16"/>
          <w:szCs w:val="24"/>
        </w:rPr>
        <w:t>Sensors</w:t>
      </w:r>
      <w:r w:rsidRPr="0074412E">
        <w:rPr>
          <w:noProof/>
          <w:sz w:val="16"/>
          <w:szCs w:val="24"/>
        </w:rPr>
        <w:t>, vol. 19, no. 9, pp. 2206–2239, 2019, doi: 10.3390/s19092206.</w:t>
      </w:r>
    </w:p>
    <w:p w14:paraId="537BB3FB" w14:textId="77777777" w:rsidR="0074412E" w:rsidRPr="0074412E" w:rsidRDefault="0074412E" w:rsidP="0074412E">
      <w:pPr>
        <w:widowControl w:val="0"/>
        <w:autoSpaceDE w:val="0"/>
        <w:autoSpaceDN w:val="0"/>
        <w:adjustRightInd w:val="0"/>
        <w:ind w:left="426" w:hanging="426"/>
        <w:jc w:val="both"/>
        <w:rPr>
          <w:noProof/>
          <w:sz w:val="16"/>
          <w:szCs w:val="24"/>
        </w:rPr>
      </w:pPr>
      <w:r w:rsidRPr="0074412E">
        <w:rPr>
          <w:noProof/>
          <w:sz w:val="16"/>
          <w:szCs w:val="24"/>
        </w:rPr>
        <w:t>[24]</w:t>
      </w:r>
      <w:r w:rsidRPr="0074412E">
        <w:rPr>
          <w:noProof/>
          <w:sz w:val="16"/>
          <w:szCs w:val="24"/>
        </w:rPr>
        <w:tab/>
        <w:t xml:space="preserve">N. Stylos and J. Zwiegelaar, “Big Data as a Game Changer: How Does It Shape Business Intelligence Within a Tourism and Hospitality Industry Context?,” in </w:t>
      </w:r>
      <w:r w:rsidRPr="0074412E">
        <w:rPr>
          <w:i/>
          <w:iCs/>
          <w:noProof/>
          <w:sz w:val="16"/>
          <w:szCs w:val="24"/>
        </w:rPr>
        <w:t>Big Data and Innovation in Tourism, Travel, and Hospitality</w:t>
      </w:r>
      <w:r w:rsidRPr="0074412E">
        <w:rPr>
          <w:noProof/>
          <w:sz w:val="16"/>
          <w:szCs w:val="24"/>
        </w:rPr>
        <w:t xml:space="preserve">, Singapore: Springer, 2019, pp. </w:t>
      </w:r>
      <w:r w:rsidRPr="0074412E">
        <w:rPr>
          <w:noProof/>
          <w:sz w:val="16"/>
          <w:szCs w:val="24"/>
        </w:rPr>
        <w:lastRenderedPageBreak/>
        <w:t>163–181.</w:t>
      </w:r>
    </w:p>
    <w:p w14:paraId="4BB47BED" w14:textId="77777777" w:rsidR="0074412E" w:rsidRPr="0074412E" w:rsidRDefault="0074412E" w:rsidP="0074412E">
      <w:pPr>
        <w:widowControl w:val="0"/>
        <w:autoSpaceDE w:val="0"/>
        <w:autoSpaceDN w:val="0"/>
        <w:adjustRightInd w:val="0"/>
        <w:ind w:left="426" w:hanging="426"/>
        <w:jc w:val="both"/>
        <w:rPr>
          <w:noProof/>
          <w:sz w:val="16"/>
        </w:rPr>
      </w:pPr>
      <w:r w:rsidRPr="0074412E">
        <w:rPr>
          <w:noProof/>
          <w:sz w:val="16"/>
          <w:szCs w:val="24"/>
        </w:rPr>
        <w:t>[25]</w:t>
      </w:r>
      <w:r w:rsidRPr="0074412E">
        <w:rPr>
          <w:noProof/>
          <w:sz w:val="16"/>
          <w:szCs w:val="24"/>
        </w:rPr>
        <w:tab/>
        <w:t xml:space="preserve">Q. Song, H. Ge, J. Caverlee, and X. Hu, “Tensor Completion Algorithms in Big Data Analytics,” </w:t>
      </w:r>
      <w:r w:rsidRPr="0074412E">
        <w:rPr>
          <w:i/>
          <w:iCs/>
          <w:noProof/>
          <w:sz w:val="16"/>
          <w:szCs w:val="24"/>
        </w:rPr>
        <w:t>ACM Trans. Knowl. Discov. Data</w:t>
      </w:r>
      <w:r w:rsidRPr="0074412E">
        <w:rPr>
          <w:noProof/>
          <w:sz w:val="16"/>
          <w:szCs w:val="24"/>
        </w:rPr>
        <w:t>, vol. 13, no. 1, pp. 1–48, Jan. 2019, doi: 10.1145/3278607.</w:t>
      </w:r>
    </w:p>
    <w:p w14:paraId="218BED3B" w14:textId="0A38596B" w:rsidR="007B72D1" w:rsidRDefault="007B72D1" w:rsidP="00EF1162">
      <w:pPr>
        <w:widowControl w:val="0"/>
        <w:autoSpaceDE w:val="0"/>
        <w:autoSpaceDN w:val="0"/>
        <w:adjustRightInd w:val="0"/>
        <w:ind w:left="426" w:hanging="426"/>
        <w:jc w:val="both"/>
        <w:rPr>
          <w:color w:val="000000"/>
          <w:sz w:val="18"/>
          <w:szCs w:val="18"/>
        </w:rPr>
      </w:pPr>
      <w:r w:rsidRPr="00E022D7">
        <w:rPr>
          <w:color w:val="000000"/>
          <w:sz w:val="16"/>
          <w:szCs w:val="16"/>
        </w:rPr>
        <w:fldChar w:fldCharType="end"/>
      </w:r>
      <w:bookmarkEnd w:id="12"/>
    </w:p>
    <w:sectPr w:rsidR="007B72D1" w:rsidSect="002A276C">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AAA38" w14:textId="77777777" w:rsidR="00BD06D5" w:rsidRDefault="00BD06D5">
      <w:r>
        <w:separator/>
      </w:r>
    </w:p>
  </w:endnote>
  <w:endnote w:type="continuationSeparator" w:id="0">
    <w:p w14:paraId="176AFBE6" w14:textId="77777777" w:rsidR="00BD06D5" w:rsidRDefault="00BD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2BC2" w14:textId="1048A31C" w:rsidR="00097958" w:rsidRPr="003D5B84" w:rsidRDefault="0005014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8240" behindDoc="0" locked="0" layoutInCell="1" allowOverlap="1" wp14:anchorId="307E942D" wp14:editId="47E334B8">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557F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140D73">
      <w:t>J</w:t>
    </w:r>
    <w:r w:rsidR="000A1F1C">
      <w:t>ournal of Technology Management and Digital Innovation</w:t>
    </w:r>
    <w:r w:rsidR="00784C44" w:rsidRPr="00E619D6">
      <w:t xml:space="preserve">, </w:t>
    </w:r>
    <w:r w:rsidR="00097958" w:rsidRPr="00E619D6">
      <w:t xml:space="preserve">Vol. </w:t>
    </w:r>
    <w:r w:rsidR="00A45398" w:rsidRPr="00E619D6">
      <w:t>x</w:t>
    </w:r>
    <w:r w:rsidR="00097958" w:rsidRPr="00E619D6">
      <w:t xml:space="preserve">, No. </w:t>
    </w:r>
    <w:r w:rsidR="00AD5DF4" w:rsidRPr="00E619D6">
      <w:t>y</w:t>
    </w:r>
    <w:r w:rsidR="0055343D" w:rsidRPr="00E619D6">
      <w:t xml:space="preserve">, </w:t>
    </w:r>
    <w:r w:rsidR="00A45398" w:rsidRPr="00735BBC">
      <w:t>Month</w:t>
    </w:r>
    <w:r w:rsidR="003A2810" w:rsidRPr="00735BBC">
      <w:t xml:space="preserve"> </w:t>
    </w:r>
    <w:r w:rsidR="003E4DD5" w:rsidRPr="00735BBC">
      <w:t>20</w:t>
    </w:r>
    <w:r w:rsidR="00AD5DF4" w:rsidRPr="00735BBC">
      <w:t>zz</w:t>
    </w:r>
    <w:r w:rsidR="00E305A0" w:rsidRPr="00735BBC">
      <w:t>:</w:t>
    </w:r>
    <w:r w:rsidR="00097958" w:rsidRPr="00735BBC">
      <w:t xml:space="preserve"> </w:t>
    </w:r>
    <w:r w:rsidR="00AD5DF4" w:rsidRPr="00735BBC">
      <w:t>ab</w:t>
    </w:r>
    <w:r w:rsidR="00BB48F9" w:rsidRPr="00735BBC">
      <w:t>-</w:t>
    </w:r>
    <w:r w:rsidR="00AD5DF4" w:rsidRPr="00735BBC">
      <w:t>cd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B96C" w14:textId="2CA8CBE9" w:rsidR="00097958" w:rsidRPr="00C07BEF" w:rsidRDefault="00DA3BBA" w:rsidP="00DA3BBA">
    <w:pPr>
      <w:pStyle w:val="Footer"/>
      <w:jc w:val="right"/>
      <w:rPr>
        <w:i/>
      </w:rPr>
    </w:pPr>
    <w:r>
      <w:rPr>
        <w:noProof/>
      </w:rPr>
      <mc:AlternateContent>
        <mc:Choice Requires="wps">
          <w:drawing>
            <wp:anchor distT="0" distB="0" distL="114300" distR="114300" simplePos="0" relativeHeight="251656192" behindDoc="0" locked="0" layoutInCell="1" allowOverlap="1" wp14:anchorId="62A3734C" wp14:editId="41A67B0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D2252"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354A58" w:rsidRPr="00552051">
      <w:rPr>
        <w:i/>
        <w:iCs/>
        <w:noProof/>
      </w:rPr>
      <w:t>Paper’s should be the fewest possible</w:t>
    </w:r>
    <w:r w:rsidR="00354A58">
      <w:rPr>
        <w:i/>
        <w:iCs/>
        <w:noProof/>
      </w:rPr>
      <w:t xml:space="preserve"> </w:t>
    </w:r>
    <w:r w:rsidR="00354A58" w:rsidRPr="00552051">
      <w:rPr>
        <w:i/>
        <w:iCs/>
        <w:noProof/>
      </w:rPr>
      <w:t xml:space="preserve">that accurately describe </w:t>
    </w:r>
    <w:r w:rsidR="00354A58">
      <w:rPr>
        <w:i/>
      </w:rPr>
      <w:t>…</w:t>
    </w:r>
    <w:r w:rsidR="00354A58" w:rsidRPr="00C07BEF">
      <w:rPr>
        <w:i/>
      </w:rPr>
      <w:t xml:space="preserve"> </w:t>
    </w:r>
    <w:r w:rsidR="00EE10AE" w:rsidRPr="00C07BEF">
      <w:rPr>
        <w:i/>
      </w:rPr>
      <w:t>(First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DD03" w14:textId="58A058EB"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57216" behindDoc="0" locked="0" layoutInCell="1" allowOverlap="1" wp14:anchorId="066E0B6C" wp14:editId="2ACAF9F0">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2C63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854C1">
      <w:rPr>
        <w:b/>
        <w:i/>
        <w:szCs w:val="18"/>
      </w:rPr>
      <w:t>Journal homepage</w:t>
    </w:r>
    <w:r w:rsidR="00C854C1">
      <w:rPr>
        <w:i/>
        <w:szCs w:val="18"/>
      </w:rPr>
      <w:t xml:space="preserve">: </w:t>
    </w:r>
    <w:r w:rsidR="00903C63" w:rsidRPr="00903C63">
      <w:rPr>
        <w:i/>
        <w:szCs w:val="18"/>
      </w:rPr>
      <w:t>https://ph05.tci-thaijo.org/index.php/TMDI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F192" w14:textId="77777777" w:rsidR="00BD06D5" w:rsidRDefault="00BD06D5">
      <w:r>
        <w:separator/>
      </w:r>
    </w:p>
  </w:footnote>
  <w:footnote w:type="continuationSeparator" w:id="0">
    <w:p w14:paraId="2F4E007F" w14:textId="77777777" w:rsidR="00BD06D5" w:rsidRDefault="00BD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0106" w14:textId="0FB306A5" w:rsidR="00097958" w:rsidRPr="003D5B84" w:rsidRDefault="00050148" w:rsidP="008C51F8">
    <w:pPr>
      <w:pStyle w:val="Header"/>
      <w:tabs>
        <w:tab w:val="clear" w:pos="4320"/>
        <w:tab w:val="clear" w:pos="8640"/>
        <w:tab w:val="right" w:pos="8789"/>
      </w:tabs>
      <w:spacing w:after="240"/>
      <w:jc w:val="right"/>
    </w:pPr>
    <w:r>
      <w:rPr>
        <w:noProof/>
      </w:rPr>
      <mc:AlternateContent>
        <mc:Choice Requires="wps">
          <w:drawing>
            <wp:anchor distT="0" distB="0" distL="114300" distR="114300" simplePos="0" relativeHeight="251655168" behindDoc="0" locked="0" layoutInCell="1" allowOverlap="1" wp14:anchorId="36240665" wp14:editId="77EC5C86">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A8AA4"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5E7E69">
      <w:t>Journal of Technology Management and Digital Innovation</w:t>
    </w:r>
    <w:r w:rsidR="00E5155C" w:rsidRPr="003D5B84">
      <w:tab/>
    </w:r>
    <w:r w:rsidR="008C51F8">
      <w:sym w:font="Wingdings" w:char="F072"/>
    </w:r>
    <w:r w:rsidR="008C51F8">
      <w:t xml:space="preserve"> </w:t>
    </w:r>
    <w:r w:rsidR="008C51F8" w:rsidRPr="003D5B84">
      <w:t xml:space="preserve"> </w:t>
    </w:r>
    <w:r w:rsidR="008C51F8" w:rsidRPr="003D5B84">
      <w:rPr>
        <w:rStyle w:val="PageNumber"/>
      </w:rPr>
      <w:fldChar w:fldCharType="begin"/>
    </w:r>
    <w:r w:rsidR="008C51F8" w:rsidRPr="003D5B84">
      <w:rPr>
        <w:rStyle w:val="PageNumber"/>
      </w:rPr>
      <w:instrText xml:space="preserve"> PAGE </w:instrText>
    </w:r>
    <w:r w:rsidR="008C51F8" w:rsidRPr="003D5B84">
      <w:rPr>
        <w:rStyle w:val="PageNumber"/>
      </w:rPr>
      <w:fldChar w:fldCharType="separate"/>
    </w:r>
    <w:r w:rsidR="008C51F8">
      <w:rPr>
        <w:rStyle w:val="PageNumber"/>
      </w:rPr>
      <w:t>1</w:t>
    </w:r>
    <w:r w:rsidR="008C51F8" w:rsidRPr="003D5B84">
      <w:rPr>
        <w:rStyle w:val="PageNumber"/>
      </w:rPr>
      <w:fldChar w:fldCharType="end"/>
    </w:r>
    <w:r w:rsidR="003D5B84" w:rsidRPr="003D5B84">
      <w:tab/>
    </w:r>
    <w:r w:rsidR="00097958" w:rsidRPr="003D5B8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4B55" w14:textId="379D9A9C" w:rsidR="00097958" w:rsidRPr="003D5B84" w:rsidRDefault="000A1F1C" w:rsidP="008C51F8">
    <w:pPr>
      <w:pStyle w:val="Header"/>
      <w:tabs>
        <w:tab w:val="clear" w:pos="4320"/>
        <w:tab w:val="clear" w:pos="8640"/>
        <w:tab w:val="left" w:pos="0"/>
        <w:tab w:val="right" w:pos="8788"/>
      </w:tabs>
    </w:pPr>
    <w:r>
      <w:t>Journal of Technology Management and Digital Innovation</w:t>
    </w:r>
    <w:r w:rsidR="00EF1185" w:rsidRPr="003D5B84">
      <w:tab/>
    </w:r>
    <w:r w:rsidR="008C51F8">
      <w:sym w:font="Wingdings" w:char="F072"/>
    </w:r>
    <w:r w:rsidR="008C51F8">
      <w:t xml:space="preserve"> </w:t>
    </w:r>
    <w:r w:rsidR="008C51F8" w:rsidRPr="003D5B84">
      <w:t xml:space="preserve"> </w:t>
    </w:r>
    <w:r w:rsidR="008C51F8" w:rsidRPr="003D5B84">
      <w:rPr>
        <w:rStyle w:val="PageNumber"/>
      </w:rPr>
      <w:fldChar w:fldCharType="begin"/>
    </w:r>
    <w:r w:rsidR="008C51F8" w:rsidRPr="003D5B84">
      <w:rPr>
        <w:rStyle w:val="PageNumber"/>
      </w:rPr>
      <w:instrText xml:space="preserve"> PAGE </w:instrText>
    </w:r>
    <w:r w:rsidR="008C51F8" w:rsidRPr="003D5B84">
      <w:rPr>
        <w:rStyle w:val="PageNumber"/>
      </w:rPr>
      <w:fldChar w:fldCharType="separate"/>
    </w:r>
    <w:r w:rsidR="008C51F8">
      <w:rPr>
        <w:rStyle w:val="PageNumber"/>
      </w:rPr>
      <w:t>1</w:t>
    </w:r>
    <w:r w:rsidR="008C51F8" w:rsidRPr="003D5B84">
      <w:rPr>
        <w:rStyle w:val="PageNumber"/>
      </w:rPr>
      <w:fldChar w:fldCharType="end"/>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59264" behindDoc="0" locked="0" layoutInCell="1" allowOverlap="1" wp14:anchorId="485510DB" wp14:editId="726A4A16">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E7BB4"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D6C6" w14:textId="5EA3F8E8" w:rsidR="00CD5A1C" w:rsidRPr="003D5B84" w:rsidRDefault="00A01FAB" w:rsidP="00CD5A1C">
    <w:pPr>
      <w:pStyle w:val="Header"/>
      <w:tabs>
        <w:tab w:val="clear" w:pos="4320"/>
        <w:tab w:val="clear" w:pos="8640"/>
      </w:tabs>
      <w:ind w:right="45"/>
      <w:rPr>
        <w:b/>
      </w:rPr>
    </w:pPr>
    <w:r>
      <w:rPr>
        <w:b/>
      </w:rPr>
      <w:t xml:space="preserve">Journal of Technology Management and Digital Innovation </w:t>
    </w:r>
    <w:r w:rsidR="00CD5A1C" w:rsidRPr="00D743B6">
      <w:rPr>
        <w:b/>
      </w:rPr>
      <w:t>(</w:t>
    </w:r>
    <w:r>
      <w:rPr>
        <w:b/>
      </w:rPr>
      <w:t>TMDI</w:t>
    </w:r>
    <w:r w:rsidR="00CD5A1C" w:rsidRPr="00D743B6">
      <w:rPr>
        <w:b/>
      </w:rPr>
      <w:t>)</w:t>
    </w:r>
  </w:p>
  <w:p w14:paraId="501D4EA2" w14:textId="396C3907" w:rsidR="00CD5A1C" w:rsidRPr="000D3712" w:rsidRDefault="00CD5A1C" w:rsidP="00CD5A1C">
    <w:pPr>
      <w:pStyle w:val="Header"/>
      <w:tabs>
        <w:tab w:val="clear" w:pos="4320"/>
        <w:tab w:val="clear" w:pos="8640"/>
      </w:tabs>
      <w:ind w:right="45"/>
    </w:pPr>
    <w:r w:rsidRPr="000D3712">
      <w:t xml:space="preserve">Vol. </w:t>
    </w:r>
    <w:r w:rsidR="00A01FAB">
      <w:t>1</w:t>
    </w:r>
    <w:r w:rsidRPr="000D3712">
      <w:t xml:space="preserve">, No. </w:t>
    </w:r>
    <w:r w:rsidR="00E022D7">
      <w:t>1</w:t>
    </w:r>
    <w:r w:rsidRPr="000D3712">
      <w:t xml:space="preserve">, </w:t>
    </w:r>
    <w:r w:rsidR="00A01FAB">
      <w:t>June</w:t>
    </w:r>
    <w:r w:rsidRPr="000D3712">
      <w:t xml:space="preserve"> 20</w:t>
    </w:r>
    <w:r w:rsidR="00A01FAB">
      <w:t>24</w:t>
    </w:r>
    <w:r w:rsidRPr="000D3712">
      <w:t xml:space="preserve">, pp. </w:t>
    </w:r>
    <w:r w:rsidR="00E022D7">
      <w:t>1</w:t>
    </w:r>
    <w:r w:rsidRPr="000D3712">
      <w:t>~</w:t>
    </w:r>
    <w:r w:rsidR="00E022D7">
      <w:t>1x</w:t>
    </w:r>
  </w:p>
  <w:p w14:paraId="2A371CCD" w14:textId="1F1DF64E" w:rsidR="00097958" w:rsidRDefault="008B060F" w:rsidP="008C51F8">
    <w:pPr>
      <w:pStyle w:val="Header"/>
      <w:tabs>
        <w:tab w:val="clear" w:pos="4320"/>
        <w:tab w:val="clear" w:pos="8640"/>
        <w:tab w:val="right" w:pos="8789"/>
      </w:tabs>
      <w:jc w:val="right"/>
      <w:rPr>
        <w:rStyle w:val="PageNumber"/>
      </w:rPr>
    </w:pPr>
    <w:r w:rsidRPr="003D5B84">
      <w:tab/>
    </w:r>
    <w:r w:rsidR="00C854C1">
      <w:sym w:font="Wingdings" w:char="F072"/>
    </w:r>
    <w:r w:rsidR="008C51F8">
      <w:t xml:space="preserve"> </w:t>
    </w:r>
    <w:r w:rsidR="00097958" w:rsidRPr="003D5B84">
      <w:t xml:space="preserve"> </w:t>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50148">
      <w:rPr>
        <w:noProof/>
      </w:rPr>
      <mc:AlternateContent>
        <mc:Choice Requires="wps">
          <w:drawing>
            <wp:anchor distT="0" distB="0" distL="114300" distR="114300" simplePos="0" relativeHeight="251660288" behindDoc="0" locked="0" layoutInCell="1" allowOverlap="1" wp14:anchorId="480481AD" wp14:editId="72A926A0">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F694E4"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027295134">
    <w:abstractNumId w:val="14"/>
  </w:num>
  <w:num w:numId="2" w16cid:durableId="2090226488">
    <w:abstractNumId w:val="9"/>
  </w:num>
  <w:num w:numId="3" w16cid:durableId="1588271357">
    <w:abstractNumId w:val="18"/>
  </w:num>
  <w:num w:numId="4" w16cid:durableId="1681348989">
    <w:abstractNumId w:val="8"/>
  </w:num>
  <w:num w:numId="5" w16cid:durableId="1328904183">
    <w:abstractNumId w:val="11"/>
  </w:num>
  <w:num w:numId="6" w16cid:durableId="251865618">
    <w:abstractNumId w:val="15"/>
  </w:num>
  <w:num w:numId="7" w16cid:durableId="640501605">
    <w:abstractNumId w:val="12"/>
  </w:num>
  <w:num w:numId="8" w16cid:durableId="718210205">
    <w:abstractNumId w:val="10"/>
  </w:num>
  <w:num w:numId="9" w16cid:durableId="235021567">
    <w:abstractNumId w:val="6"/>
  </w:num>
  <w:num w:numId="10" w16cid:durableId="194463558">
    <w:abstractNumId w:val="1"/>
  </w:num>
  <w:num w:numId="11" w16cid:durableId="1052070858">
    <w:abstractNumId w:val="0"/>
  </w:num>
  <w:num w:numId="12" w16cid:durableId="1579435118">
    <w:abstractNumId w:val="3"/>
  </w:num>
  <w:num w:numId="13" w16cid:durableId="1336886045">
    <w:abstractNumId w:val="2"/>
  </w:num>
  <w:num w:numId="14" w16cid:durableId="412167349">
    <w:abstractNumId w:val="4"/>
  </w:num>
  <w:num w:numId="15" w16cid:durableId="1468084887">
    <w:abstractNumId w:val="17"/>
  </w:num>
  <w:num w:numId="16" w16cid:durableId="747196720">
    <w:abstractNumId w:val="5"/>
  </w:num>
  <w:num w:numId="17" w16cid:durableId="663050102">
    <w:abstractNumId w:val="16"/>
  </w:num>
  <w:num w:numId="18" w16cid:durableId="1168446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0758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625598">
    <w:abstractNumId w:val="13"/>
  </w:num>
  <w:num w:numId="21" w16cid:durableId="173893747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1F1C"/>
    <w:rsid w:val="000A592D"/>
    <w:rsid w:val="000A643C"/>
    <w:rsid w:val="000A7ACA"/>
    <w:rsid w:val="000B0641"/>
    <w:rsid w:val="000B1AEE"/>
    <w:rsid w:val="000B5480"/>
    <w:rsid w:val="000B682B"/>
    <w:rsid w:val="000C03DA"/>
    <w:rsid w:val="000C242B"/>
    <w:rsid w:val="000C4B17"/>
    <w:rsid w:val="000C730A"/>
    <w:rsid w:val="000D099B"/>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6A21"/>
    <w:rsid w:val="00137465"/>
    <w:rsid w:val="00137E25"/>
    <w:rsid w:val="00137F36"/>
    <w:rsid w:val="00140D73"/>
    <w:rsid w:val="001414E2"/>
    <w:rsid w:val="00142471"/>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FDC"/>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919"/>
    <w:rsid w:val="001F4ACD"/>
    <w:rsid w:val="001F5105"/>
    <w:rsid w:val="001F6170"/>
    <w:rsid w:val="001F63D7"/>
    <w:rsid w:val="001F6ACF"/>
    <w:rsid w:val="001F6FB1"/>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070"/>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6D8E"/>
    <w:rsid w:val="002A0772"/>
    <w:rsid w:val="002A276C"/>
    <w:rsid w:val="002B0601"/>
    <w:rsid w:val="002B10C7"/>
    <w:rsid w:val="002B15E8"/>
    <w:rsid w:val="002B66EF"/>
    <w:rsid w:val="002B6EC9"/>
    <w:rsid w:val="002B7609"/>
    <w:rsid w:val="002C0665"/>
    <w:rsid w:val="002C2C92"/>
    <w:rsid w:val="002C4749"/>
    <w:rsid w:val="002C49CF"/>
    <w:rsid w:val="002C6317"/>
    <w:rsid w:val="002D07B9"/>
    <w:rsid w:val="002D0C71"/>
    <w:rsid w:val="002D0F04"/>
    <w:rsid w:val="002D24C5"/>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5F44"/>
    <w:rsid w:val="00337C87"/>
    <w:rsid w:val="0034265F"/>
    <w:rsid w:val="00343313"/>
    <w:rsid w:val="003437DD"/>
    <w:rsid w:val="00343A49"/>
    <w:rsid w:val="0034452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1BEF"/>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E6548"/>
    <w:rsid w:val="003F0964"/>
    <w:rsid w:val="003F18A1"/>
    <w:rsid w:val="003F1D93"/>
    <w:rsid w:val="003F2EB6"/>
    <w:rsid w:val="003F4897"/>
    <w:rsid w:val="003F6587"/>
    <w:rsid w:val="00402C7D"/>
    <w:rsid w:val="00403A74"/>
    <w:rsid w:val="004048F5"/>
    <w:rsid w:val="00407351"/>
    <w:rsid w:val="00407C2D"/>
    <w:rsid w:val="004106DF"/>
    <w:rsid w:val="00411A71"/>
    <w:rsid w:val="00411C0C"/>
    <w:rsid w:val="0041364A"/>
    <w:rsid w:val="0041399A"/>
    <w:rsid w:val="00414535"/>
    <w:rsid w:val="00414EA0"/>
    <w:rsid w:val="00420D64"/>
    <w:rsid w:val="00424E85"/>
    <w:rsid w:val="00425BE9"/>
    <w:rsid w:val="00427072"/>
    <w:rsid w:val="0043585C"/>
    <w:rsid w:val="00436290"/>
    <w:rsid w:val="00441F35"/>
    <w:rsid w:val="00443205"/>
    <w:rsid w:val="004437CA"/>
    <w:rsid w:val="004439D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4EE4"/>
    <w:rsid w:val="004E6C69"/>
    <w:rsid w:val="004E7D77"/>
    <w:rsid w:val="004F0961"/>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42E5"/>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5C5B"/>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36BC"/>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51F9"/>
    <w:rsid w:val="005E6EF7"/>
    <w:rsid w:val="005E736A"/>
    <w:rsid w:val="005E75FC"/>
    <w:rsid w:val="005E7E69"/>
    <w:rsid w:val="005F042D"/>
    <w:rsid w:val="005F3D1C"/>
    <w:rsid w:val="005F534C"/>
    <w:rsid w:val="005F75F8"/>
    <w:rsid w:val="006044C7"/>
    <w:rsid w:val="006123B6"/>
    <w:rsid w:val="00613977"/>
    <w:rsid w:val="0061627D"/>
    <w:rsid w:val="00617711"/>
    <w:rsid w:val="006206C7"/>
    <w:rsid w:val="00622EC4"/>
    <w:rsid w:val="006230E1"/>
    <w:rsid w:val="0062488B"/>
    <w:rsid w:val="006327F1"/>
    <w:rsid w:val="00633054"/>
    <w:rsid w:val="00636167"/>
    <w:rsid w:val="00637E98"/>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2E4C"/>
    <w:rsid w:val="006B6754"/>
    <w:rsid w:val="006B71FD"/>
    <w:rsid w:val="006C0661"/>
    <w:rsid w:val="006C0E3B"/>
    <w:rsid w:val="006C18AF"/>
    <w:rsid w:val="006C1D12"/>
    <w:rsid w:val="006C5368"/>
    <w:rsid w:val="006C5EC9"/>
    <w:rsid w:val="006C7C8B"/>
    <w:rsid w:val="006D29E6"/>
    <w:rsid w:val="006D32F7"/>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5BBC"/>
    <w:rsid w:val="00740C36"/>
    <w:rsid w:val="00741A8F"/>
    <w:rsid w:val="00742008"/>
    <w:rsid w:val="00743BA0"/>
    <w:rsid w:val="0074412E"/>
    <w:rsid w:val="00747DFD"/>
    <w:rsid w:val="00753C3E"/>
    <w:rsid w:val="00754329"/>
    <w:rsid w:val="007547A1"/>
    <w:rsid w:val="00756A93"/>
    <w:rsid w:val="0075769A"/>
    <w:rsid w:val="00765DEF"/>
    <w:rsid w:val="00766E46"/>
    <w:rsid w:val="00770E6E"/>
    <w:rsid w:val="00771A7C"/>
    <w:rsid w:val="0077230A"/>
    <w:rsid w:val="00772725"/>
    <w:rsid w:val="00773EB7"/>
    <w:rsid w:val="007746F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24FC"/>
    <w:rsid w:val="007B3EF9"/>
    <w:rsid w:val="007B57A1"/>
    <w:rsid w:val="007B72D1"/>
    <w:rsid w:val="007B7535"/>
    <w:rsid w:val="007B79C9"/>
    <w:rsid w:val="007C0931"/>
    <w:rsid w:val="007C0D3D"/>
    <w:rsid w:val="007C2A08"/>
    <w:rsid w:val="007C40AA"/>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21D"/>
    <w:rsid w:val="00827A30"/>
    <w:rsid w:val="008318B8"/>
    <w:rsid w:val="00831DDD"/>
    <w:rsid w:val="00832386"/>
    <w:rsid w:val="008332DA"/>
    <w:rsid w:val="008344C2"/>
    <w:rsid w:val="00834BAC"/>
    <w:rsid w:val="00836D01"/>
    <w:rsid w:val="008373F8"/>
    <w:rsid w:val="008377CA"/>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8233C"/>
    <w:rsid w:val="0088280A"/>
    <w:rsid w:val="00883EB7"/>
    <w:rsid w:val="00884999"/>
    <w:rsid w:val="00892C9F"/>
    <w:rsid w:val="00892FBD"/>
    <w:rsid w:val="00893AD8"/>
    <w:rsid w:val="00893D2C"/>
    <w:rsid w:val="00894D11"/>
    <w:rsid w:val="0089523F"/>
    <w:rsid w:val="0089676C"/>
    <w:rsid w:val="008967E5"/>
    <w:rsid w:val="00897BCF"/>
    <w:rsid w:val="008A07FE"/>
    <w:rsid w:val="008A0886"/>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1F8"/>
    <w:rsid w:val="008C54EA"/>
    <w:rsid w:val="008C6701"/>
    <w:rsid w:val="008C671C"/>
    <w:rsid w:val="008D28A9"/>
    <w:rsid w:val="008D3BDF"/>
    <w:rsid w:val="008D7EA2"/>
    <w:rsid w:val="008E0F80"/>
    <w:rsid w:val="008E1B84"/>
    <w:rsid w:val="008E1CA4"/>
    <w:rsid w:val="008E3FAA"/>
    <w:rsid w:val="008E737C"/>
    <w:rsid w:val="008F04A3"/>
    <w:rsid w:val="008F05B8"/>
    <w:rsid w:val="008F0C9D"/>
    <w:rsid w:val="008F0D5A"/>
    <w:rsid w:val="008F1C12"/>
    <w:rsid w:val="008F5A4B"/>
    <w:rsid w:val="008F5EF9"/>
    <w:rsid w:val="008F5F6F"/>
    <w:rsid w:val="008F7FD5"/>
    <w:rsid w:val="00900EC1"/>
    <w:rsid w:val="00901214"/>
    <w:rsid w:val="00903C63"/>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FDA"/>
    <w:rsid w:val="00950EF7"/>
    <w:rsid w:val="00954DC1"/>
    <w:rsid w:val="00955462"/>
    <w:rsid w:val="00956EB6"/>
    <w:rsid w:val="00956F83"/>
    <w:rsid w:val="00957C11"/>
    <w:rsid w:val="009617A9"/>
    <w:rsid w:val="009665BE"/>
    <w:rsid w:val="009673AB"/>
    <w:rsid w:val="00970E84"/>
    <w:rsid w:val="00971153"/>
    <w:rsid w:val="00981036"/>
    <w:rsid w:val="00981E5F"/>
    <w:rsid w:val="00981F5C"/>
    <w:rsid w:val="00983846"/>
    <w:rsid w:val="00990CC8"/>
    <w:rsid w:val="009917B7"/>
    <w:rsid w:val="0099227E"/>
    <w:rsid w:val="009949C5"/>
    <w:rsid w:val="00997C10"/>
    <w:rsid w:val="009A19B2"/>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B1"/>
    <w:rsid w:val="009E41D1"/>
    <w:rsid w:val="009E4FB4"/>
    <w:rsid w:val="009E5694"/>
    <w:rsid w:val="009E585B"/>
    <w:rsid w:val="009E7D5A"/>
    <w:rsid w:val="009F040E"/>
    <w:rsid w:val="009F1F65"/>
    <w:rsid w:val="009F3146"/>
    <w:rsid w:val="00A007E2"/>
    <w:rsid w:val="00A01765"/>
    <w:rsid w:val="00A01FAB"/>
    <w:rsid w:val="00A02DD3"/>
    <w:rsid w:val="00A04D6C"/>
    <w:rsid w:val="00A05622"/>
    <w:rsid w:val="00A100B6"/>
    <w:rsid w:val="00A1136A"/>
    <w:rsid w:val="00A135A2"/>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2F4"/>
    <w:rsid w:val="00A477B8"/>
    <w:rsid w:val="00A47AD5"/>
    <w:rsid w:val="00A47F03"/>
    <w:rsid w:val="00A51683"/>
    <w:rsid w:val="00A51892"/>
    <w:rsid w:val="00A52037"/>
    <w:rsid w:val="00A52149"/>
    <w:rsid w:val="00A52366"/>
    <w:rsid w:val="00A52EAC"/>
    <w:rsid w:val="00A52FC1"/>
    <w:rsid w:val="00A5654D"/>
    <w:rsid w:val="00A56DE3"/>
    <w:rsid w:val="00A5724F"/>
    <w:rsid w:val="00A6194E"/>
    <w:rsid w:val="00A6214E"/>
    <w:rsid w:val="00A6261F"/>
    <w:rsid w:val="00A662A3"/>
    <w:rsid w:val="00A6661A"/>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7AC"/>
    <w:rsid w:val="00AB59A7"/>
    <w:rsid w:val="00AB68F7"/>
    <w:rsid w:val="00AC06A7"/>
    <w:rsid w:val="00AC077B"/>
    <w:rsid w:val="00AC0C82"/>
    <w:rsid w:val="00AC1F08"/>
    <w:rsid w:val="00AC2FA3"/>
    <w:rsid w:val="00AC374E"/>
    <w:rsid w:val="00AC60ED"/>
    <w:rsid w:val="00AD2373"/>
    <w:rsid w:val="00AD3AE9"/>
    <w:rsid w:val="00AD47AE"/>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A29B5"/>
    <w:rsid w:val="00BA2A58"/>
    <w:rsid w:val="00BA67A1"/>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01D"/>
    <w:rsid w:val="00BD049F"/>
    <w:rsid w:val="00BD06D5"/>
    <w:rsid w:val="00BD0E9D"/>
    <w:rsid w:val="00BD218A"/>
    <w:rsid w:val="00BD2B86"/>
    <w:rsid w:val="00BD399A"/>
    <w:rsid w:val="00BD557E"/>
    <w:rsid w:val="00BD5B18"/>
    <w:rsid w:val="00BD5F64"/>
    <w:rsid w:val="00BE0201"/>
    <w:rsid w:val="00BE11CD"/>
    <w:rsid w:val="00BE3232"/>
    <w:rsid w:val="00BE520C"/>
    <w:rsid w:val="00BF16AD"/>
    <w:rsid w:val="00BF1B8B"/>
    <w:rsid w:val="00BF2C8B"/>
    <w:rsid w:val="00BF34A7"/>
    <w:rsid w:val="00BF3B14"/>
    <w:rsid w:val="00BF59A5"/>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05D8"/>
    <w:rsid w:val="00C55BED"/>
    <w:rsid w:val="00C55D03"/>
    <w:rsid w:val="00C55F3E"/>
    <w:rsid w:val="00C57311"/>
    <w:rsid w:val="00C578DA"/>
    <w:rsid w:val="00C61929"/>
    <w:rsid w:val="00C62E71"/>
    <w:rsid w:val="00C63059"/>
    <w:rsid w:val="00C631FE"/>
    <w:rsid w:val="00C63C08"/>
    <w:rsid w:val="00C66BA6"/>
    <w:rsid w:val="00C66CCC"/>
    <w:rsid w:val="00C676A4"/>
    <w:rsid w:val="00C67EA4"/>
    <w:rsid w:val="00C700B6"/>
    <w:rsid w:val="00C70376"/>
    <w:rsid w:val="00C7182A"/>
    <w:rsid w:val="00C723B3"/>
    <w:rsid w:val="00C72659"/>
    <w:rsid w:val="00C734AC"/>
    <w:rsid w:val="00C73BD7"/>
    <w:rsid w:val="00C80CAC"/>
    <w:rsid w:val="00C81C9C"/>
    <w:rsid w:val="00C8516B"/>
    <w:rsid w:val="00C854C1"/>
    <w:rsid w:val="00C85B81"/>
    <w:rsid w:val="00C9178F"/>
    <w:rsid w:val="00C93F76"/>
    <w:rsid w:val="00C9655A"/>
    <w:rsid w:val="00C96FCA"/>
    <w:rsid w:val="00C9754D"/>
    <w:rsid w:val="00C975DF"/>
    <w:rsid w:val="00CA5AD7"/>
    <w:rsid w:val="00CA5D84"/>
    <w:rsid w:val="00CA7606"/>
    <w:rsid w:val="00CB0748"/>
    <w:rsid w:val="00CC1960"/>
    <w:rsid w:val="00CD3E2B"/>
    <w:rsid w:val="00CD4F70"/>
    <w:rsid w:val="00CD5A1C"/>
    <w:rsid w:val="00CE1CF3"/>
    <w:rsid w:val="00CE4BC0"/>
    <w:rsid w:val="00CE70F3"/>
    <w:rsid w:val="00CE7659"/>
    <w:rsid w:val="00CF0E18"/>
    <w:rsid w:val="00CF29A4"/>
    <w:rsid w:val="00CF2F2E"/>
    <w:rsid w:val="00CF4D01"/>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CB2"/>
    <w:rsid w:val="00D54DBC"/>
    <w:rsid w:val="00D570F3"/>
    <w:rsid w:val="00D61C85"/>
    <w:rsid w:val="00D624E5"/>
    <w:rsid w:val="00D634A8"/>
    <w:rsid w:val="00D64A25"/>
    <w:rsid w:val="00D64C3D"/>
    <w:rsid w:val="00D65A1C"/>
    <w:rsid w:val="00D65E77"/>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973A9"/>
    <w:rsid w:val="00DA0390"/>
    <w:rsid w:val="00DA1940"/>
    <w:rsid w:val="00DA3BBA"/>
    <w:rsid w:val="00DA3C3C"/>
    <w:rsid w:val="00DA7399"/>
    <w:rsid w:val="00DB05EC"/>
    <w:rsid w:val="00DB166E"/>
    <w:rsid w:val="00DB3D8C"/>
    <w:rsid w:val="00DB3E4C"/>
    <w:rsid w:val="00DB43B8"/>
    <w:rsid w:val="00DB7BD1"/>
    <w:rsid w:val="00DB7C8A"/>
    <w:rsid w:val="00DC0A87"/>
    <w:rsid w:val="00DC2DC5"/>
    <w:rsid w:val="00DC341B"/>
    <w:rsid w:val="00DC651F"/>
    <w:rsid w:val="00DD0E87"/>
    <w:rsid w:val="00DD2BCD"/>
    <w:rsid w:val="00DD35E7"/>
    <w:rsid w:val="00DD3A3B"/>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022D7"/>
    <w:rsid w:val="00E12071"/>
    <w:rsid w:val="00E12660"/>
    <w:rsid w:val="00E12838"/>
    <w:rsid w:val="00E15BBF"/>
    <w:rsid w:val="00E15ECD"/>
    <w:rsid w:val="00E230D8"/>
    <w:rsid w:val="00E239E2"/>
    <w:rsid w:val="00E23F00"/>
    <w:rsid w:val="00E2599A"/>
    <w:rsid w:val="00E26A0F"/>
    <w:rsid w:val="00E305A0"/>
    <w:rsid w:val="00E318D4"/>
    <w:rsid w:val="00E339EE"/>
    <w:rsid w:val="00E3557A"/>
    <w:rsid w:val="00E4014C"/>
    <w:rsid w:val="00E401F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1714"/>
    <w:rsid w:val="00E91546"/>
    <w:rsid w:val="00E91678"/>
    <w:rsid w:val="00E9206E"/>
    <w:rsid w:val="00E93438"/>
    <w:rsid w:val="00E93F64"/>
    <w:rsid w:val="00E9427E"/>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62"/>
    <w:rsid w:val="00EF1185"/>
    <w:rsid w:val="00EF754D"/>
    <w:rsid w:val="00F01708"/>
    <w:rsid w:val="00F027E9"/>
    <w:rsid w:val="00F0775E"/>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3922"/>
    <w:rsid w:val="00FF7745"/>
    <w:rsid w:val="00FF79EB"/>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hgkelc">
    <w:name w:val="hgkelc"/>
    <w:basedOn w:val="DefaultParagraphFont"/>
    <w:rsid w:val="008A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5231665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5000908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98045198">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46093299">
      <w:bodyDiv w:val="1"/>
      <w:marLeft w:val="0"/>
      <w:marRight w:val="0"/>
      <w:marTop w:val="0"/>
      <w:marBottom w:val="0"/>
      <w:divBdr>
        <w:top w:val="none" w:sz="0" w:space="0" w:color="auto"/>
        <w:left w:val="none" w:sz="0" w:space="0" w:color="auto"/>
        <w:bottom w:val="none" w:sz="0" w:space="0" w:color="auto"/>
        <w:right w:val="none" w:sz="0" w:space="0" w:color="auto"/>
      </w:divBdr>
    </w:div>
    <w:div w:id="188451619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CD02-06E9-4267-BA4D-DBF577F5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8617</Words>
  <Characters>49117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International Journal of Reconfigurable and Embedded Systems (IJRES)</vt:lpstr>
    </vt:vector>
  </TitlesOfParts>
  <Company>IAES | Institute of Advanced Engineering and Science</Company>
  <LinksUpToDate>false</LinksUpToDate>
  <CharactersWithSpaces>57619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Reconfigurable and Embedded Systems (IJRES)</dc:title>
  <dc:creator>IJRES</dc:creator>
  <cp:keywords>architectures; circuits; compilation; debugging; design methodologies; embedded computing; embedded IoT systems; models; simulation; synthesis; systems; test &amp; applications; tools; verification;</cp:keywords>
  <dc:description>IJRES Template and Guide of Authors</dc:description>
  <cp:lastModifiedBy>จารุณี ทองอร่าม</cp:lastModifiedBy>
  <cp:revision>30</cp:revision>
  <cp:lastPrinted>2021-08-05T08:35:00Z</cp:lastPrinted>
  <dcterms:created xsi:type="dcterms:W3CDTF">2024-05-23T08:35:00Z</dcterms:created>
  <dcterms:modified xsi:type="dcterms:W3CDTF">2024-05-23T09:25:00Z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776e0564-2fea-30f4-b7a8-b30c8883ccf5</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